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EE1D3" w14:textId="71F461EC" w:rsidR="00F667D7" w:rsidRDefault="00067651">
      <w:r>
        <w:tab/>
        <w:t xml:space="preserve">The primary research question that this thesis is concerned with is whether or not London can be accepted as being significantly statistically different from other areas in the United Kingdom, specifically Surrey and Sussex. It is the case, based on available data from John Beattie in </w:t>
      </w:r>
      <w:r w:rsidR="00F526BB" w:rsidRPr="00F526BB">
        <w:rPr>
          <w:i/>
        </w:rPr>
        <w:t>Crime and the Courts in England 1660-1800</w:t>
      </w:r>
      <w:r w:rsidR="00F526BB">
        <w:rPr>
          <w:i/>
        </w:rPr>
        <w:t xml:space="preserve"> </w:t>
      </w:r>
      <w:r>
        <w:t xml:space="preserve">and from the </w:t>
      </w:r>
      <w:r w:rsidRPr="00067651">
        <w:rPr>
          <w:i/>
        </w:rPr>
        <w:t>Proceedings of the Old Bailey Online</w:t>
      </w:r>
      <w:r>
        <w:t xml:space="preserve">, </w:t>
      </w:r>
      <w:r w:rsidR="00676237">
        <w:t>that in the majority of circumstances the data</w:t>
      </w:r>
      <w:r>
        <w:t xml:space="preserve"> shows no distinction </w:t>
      </w:r>
      <w:r w:rsidR="00676237">
        <w:t>need</w:t>
      </w:r>
      <w:r>
        <w:t xml:space="preserve"> be made whether </w:t>
      </w:r>
      <w:r w:rsidR="00676237">
        <w:t>a case was heard</w:t>
      </w:r>
      <w:r>
        <w:t xml:space="preserve"> at the Old Bailey or in one of the Surrey and Sussex Quarter Sessions/Assizes. There are, however, certain exceptions which must be explored in which the data reveals serious discrepancies with the ways that individuals </w:t>
      </w:r>
      <w:r w:rsidR="00676237">
        <w:t>were</w:t>
      </w:r>
      <w:r>
        <w:t xml:space="preserve"> handled or how the cases </w:t>
      </w:r>
      <w:r w:rsidR="00676237">
        <w:t>were resolved.</w:t>
      </w:r>
    </w:p>
    <w:p w14:paraId="1998BE27" w14:textId="2DB68BC3" w:rsidR="00727308" w:rsidRDefault="00BE2B16">
      <w:r>
        <w:tab/>
      </w:r>
      <w:commentRangeStart w:id="0"/>
      <w:r>
        <w:t>In</w:t>
      </w:r>
      <w:commentRangeEnd w:id="0"/>
      <w:r w:rsidR="004F3447">
        <w:rPr>
          <w:rStyle w:val="CommentReference"/>
        </w:rPr>
        <w:commentReference w:id="0"/>
      </w:r>
      <w:r>
        <w:t xml:space="preserve"> three key statistical comparisons there are distinct differences between </w:t>
      </w:r>
      <w:r w:rsidRPr="00F526BB">
        <w:rPr>
          <w:i/>
        </w:rPr>
        <w:t>Crime and the Courts in England 1660-1800</w:t>
      </w:r>
      <w:r>
        <w:t xml:space="preserve"> and </w:t>
      </w:r>
      <w:r w:rsidRPr="00067651">
        <w:rPr>
          <w:i/>
        </w:rPr>
        <w:t>Proceedings of the Old Bailey Online</w:t>
      </w:r>
      <w:r>
        <w:t>.</w:t>
      </w:r>
      <w:r w:rsidR="00BE60BC">
        <w:t xml:space="preserve"> </w:t>
      </w:r>
      <w:r w:rsidR="00727308">
        <w:t xml:space="preserve">The three chosen tests were Chi-Squared, Phi/Cramer’s V, and Kendall’s Tau. Chi-Squared was used to determine if a hypothesis could be possible or acceptable with regards to the data </w:t>
      </w:r>
      <w:commentRangeStart w:id="1"/>
      <w:r w:rsidR="00727308">
        <w:t>presented</w:t>
      </w:r>
      <w:commentRangeEnd w:id="1"/>
      <w:r w:rsidR="00727308">
        <w:rPr>
          <w:rStyle w:val="CommentReference"/>
        </w:rPr>
        <w:commentReference w:id="1"/>
      </w:r>
      <w:r w:rsidR="00727308">
        <w:t>. Phi/Cramer’s V and Kendall’s Tau were follow-ups used to re-</w:t>
      </w:r>
      <w:proofErr w:type="gramStart"/>
      <w:r w:rsidR="00727308">
        <w:t>asses</w:t>
      </w:r>
      <w:proofErr w:type="gramEnd"/>
      <w:r w:rsidR="00727308">
        <w:t xml:space="preserve"> correlation strength and directionality respectively.</w:t>
      </w:r>
    </w:p>
    <w:p w14:paraId="03D8F274" w14:textId="47AB81A0" w:rsidR="002838F3" w:rsidRDefault="00BE60BC" w:rsidP="00727308">
      <w:pPr>
        <w:ind w:firstLine="720"/>
      </w:pPr>
      <w:r>
        <w:t xml:space="preserve">In </w:t>
      </w:r>
      <w:proofErr w:type="gramStart"/>
      <w:r>
        <w:t>all of</w:t>
      </w:r>
      <w:proofErr w:type="gramEnd"/>
      <w:r>
        <w:t xml:space="preserve"> these cases it appeared initially, using the Chi-Squared test, that there was not necessarily a difference between London and Surrey/Sussex.</w:t>
      </w:r>
      <w:r w:rsidR="00DC6591">
        <w:t xml:space="preserve"> Each case came back as accepting of the hypothesis with a confidence greater than 99.9%.</w:t>
      </w:r>
      <w:r w:rsidR="00DB5302">
        <w:t xml:space="preserve"> Since this was identical in both locations, it was initially not going to be explored since it continued to prove the thesis that London is not </w:t>
      </w:r>
      <w:r w:rsidR="00DB5302">
        <w:t>significantly statistically different from other areas in the United Kingdom, specifically Surrey and Sussex</w:t>
      </w:r>
      <w:r w:rsidR="00DB5302">
        <w:t>.</w:t>
      </w:r>
      <w:r w:rsidR="00276117">
        <w:t xml:space="preserve"> Performing due diligence, however, highlighted the beginning of differences between some of the areas/hypotheses which seemed to have no difference.</w:t>
      </w:r>
    </w:p>
    <w:p w14:paraId="52F6038F" w14:textId="647DB22E" w:rsidR="00276117" w:rsidRDefault="00276117">
      <w:r>
        <w:lastRenderedPageBreak/>
        <w:tab/>
        <w:t>The second step was to examine the same data</w:t>
      </w:r>
      <w:r w:rsidR="00645C60">
        <w:t xml:space="preserve"> using both Phi (</w:t>
      </w:r>
      <w:r w:rsidR="00645C60" w:rsidRPr="00645C60">
        <w:t>φ</w:t>
      </w:r>
      <w:r w:rsidR="00645C60">
        <w:t>)</w:t>
      </w:r>
      <w:r w:rsidR="0098523C">
        <w:t>, the Contingency coefficient,</w:t>
      </w:r>
      <w:r w:rsidR="00645C60">
        <w:t xml:space="preserve"> and Cramer’s V.</w:t>
      </w:r>
      <w:r w:rsidR="0098523C">
        <w:t xml:space="preserve"> In this case Cramer’s V, since the tables were two-by-two, was identical to Phi.</w:t>
      </w:r>
      <w:r w:rsidR="00B94179">
        <w:rPr>
          <w:rStyle w:val="FootnoteReference"/>
        </w:rPr>
        <w:footnoteReference w:id="1"/>
      </w:r>
      <w:r w:rsidR="00B94179">
        <w:t xml:space="preserve"> It was here that relationships, which certainly existed, were shown to be very weak, almost always the case for the Old Bailey, and then some degree of strong (moderately strong or strong) for Surrey/Sussex.</w:t>
      </w:r>
      <w:r w:rsidR="00D857BA">
        <w:t xml:space="preserve"> This was the case for the three anomalies and warranted one more level of exploration.</w:t>
      </w:r>
    </w:p>
    <w:p w14:paraId="45298626" w14:textId="6891BD0B" w:rsidR="00D857BA" w:rsidRDefault="00D857BA">
      <w:r>
        <w:tab/>
      </w:r>
      <w:r w:rsidR="00866850">
        <w:t xml:space="preserve">Since these were square tables, it was </w:t>
      </w:r>
      <w:r w:rsidR="00DB0C91">
        <w:t xml:space="preserve">appropriate to use a variant of </w:t>
      </w:r>
      <w:r w:rsidR="00FB5846">
        <w:t xml:space="preserve">Kendall’s Tau called Tau-B. </w:t>
      </w:r>
      <w:r w:rsidR="00EA381C">
        <w:t xml:space="preserve">The tables which stood out under Tau-B were the same ones which stood </w:t>
      </w:r>
      <w:r w:rsidR="00BC42D3">
        <w:t xml:space="preserve">out under Phi. </w:t>
      </w:r>
      <w:r w:rsidR="00EA7F48">
        <w:t>Tau-B, however, was used not just to confirm the findings from Phi, but also to determine some directionality. In both cases dealing with Homicide there was a negative directionality, while the case dealing with Infanticide indicated a positive directionality.</w:t>
      </w:r>
    </w:p>
    <w:p w14:paraId="1FF9CF12" w14:textId="0DF894B0" w:rsidR="00907D4D" w:rsidRDefault="00907D4D" w:rsidP="00907D4D">
      <w:pPr>
        <w:pStyle w:val="Heading2"/>
      </w:pPr>
      <w:r>
        <w:t xml:space="preserve">Guilt when charged with Homicide </w:t>
      </w:r>
      <w:r w:rsidRPr="00B0734E">
        <w:t>pre-1740 and post-174</w:t>
      </w:r>
      <w:r>
        <w:t>0</w:t>
      </w:r>
    </w:p>
    <w:p w14:paraId="31CB21BF" w14:textId="77777777" w:rsidR="00A31B32" w:rsidRDefault="00A31B32" w:rsidP="00A31B32">
      <w:pPr>
        <w:keepNext/>
        <w:jc w:val="center"/>
      </w:pPr>
      <w:r>
        <w:rPr>
          <w:noProof/>
        </w:rPr>
        <w:drawing>
          <wp:inline distT="0" distB="0" distL="0" distR="0" wp14:anchorId="5AB44180" wp14:editId="0AFDDA43">
            <wp:extent cx="384810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icideGuilt.png"/>
                    <pic:cNvPicPr/>
                  </pic:nvPicPr>
                  <pic:blipFill rotWithShape="1">
                    <a:blip r:embed="rId10">
                      <a:extLst>
                        <a:ext uri="{28A0092B-C50C-407E-A947-70E740481C1C}">
                          <a14:useLocalDpi xmlns:a14="http://schemas.microsoft.com/office/drawing/2010/main" val="0"/>
                        </a:ext>
                      </a:extLst>
                    </a:blip>
                    <a:srcRect l="18590" t="9056" r="16667" b="14207"/>
                    <a:stretch/>
                  </pic:blipFill>
                  <pic:spPr bwMode="auto">
                    <a:xfrm>
                      <a:off x="0" y="0"/>
                      <a:ext cx="3848100" cy="2905125"/>
                    </a:xfrm>
                    <a:prstGeom prst="rect">
                      <a:avLst/>
                    </a:prstGeom>
                    <a:ln>
                      <a:noFill/>
                    </a:ln>
                    <a:extLst>
                      <a:ext uri="{53640926-AAD7-44D8-BBD7-CCE9431645EC}">
                        <a14:shadowObscured xmlns:a14="http://schemas.microsoft.com/office/drawing/2010/main"/>
                      </a:ext>
                    </a:extLst>
                  </pic:spPr>
                </pic:pic>
              </a:graphicData>
            </a:graphic>
          </wp:inline>
        </w:drawing>
      </w:r>
    </w:p>
    <w:p w14:paraId="146CDDA3" w14:textId="43A26A5A" w:rsidR="00A31B32" w:rsidRPr="00A31B32" w:rsidRDefault="00A31B32" w:rsidP="00A31B32">
      <w:pPr>
        <w:pStyle w:val="Caption"/>
        <w:jc w:val="center"/>
      </w:pPr>
      <w:r>
        <w:t xml:space="preserve">Figure </w:t>
      </w:r>
      <w:fldSimple w:instr=" SEQ Figure \* ARABIC ">
        <w:r w:rsidR="00F9489A">
          <w:rPr>
            <w:noProof/>
          </w:rPr>
          <w:t>1</w:t>
        </w:r>
      </w:fldSimple>
      <w:r>
        <w:t>: A mosaic representation of the Chi-Squared/Kendall's Tau-B Table of data</w:t>
      </w:r>
    </w:p>
    <w:p w14:paraId="4D89B21E" w14:textId="49D76D32" w:rsidR="00907D4D" w:rsidRPr="001B09DC" w:rsidRDefault="00907D4D" w:rsidP="00907D4D">
      <w:r>
        <w:lastRenderedPageBreak/>
        <w:tab/>
        <w:t xml:space="preserve">The first statistical anomaly was found with a working hypothesis that </w:t>
      </w:r>
      <w:r w:rsidRPr="0092643E">
        <w:t xml:space="preserve">there is an association between being charged with Homicide and found guilty </w:t>
      </w:r>
      <w:r>
        <w:t xml:space="preserve">between </w:t>
      </w:r>
      <w:r w:rsidRPr="0092643E">
        <w:t xml:space="preserve">1660-1740 </w:t>
      </w:r>
      <w:r>
        <w:t>and</w:t>
      </w:r>
      <w:r w:rsidRPr="0092643E">
        <w:t xml:space="preserve"> 1740-1802</w:t>
      </w:r>
      <w:r>
        <w:t xml:space="preserve"> </w:t>
      </w:r>
      <w:r w:rsidRPr="0092643E">
        <w:t xml:space="preserve">at the Old Bailey </w:t>
      </w:r>
      <w:r>
        <w:t>or in Surrey/Sussex.</w:t>
      </w:r>
      <w:bookmarkStart w:id="2" w:name="_GoBack"/>
      <w:bookmarkEnd w:id="2"/>
    </w:p>
    <w:p w14:paraId="77472C0E" w14:textId="4DFA7723" w:rsidR="00B0734E" w:rsidRDefault="00B0734E" w:rsidP="00B0734E">
      <w:pPr>
        <w:pStyle w:val="Heading2"/>
      </w:pPr>
      <w:r>
        <w:t xml:space="preserve">Guilt in Males charged with Homicide </w:t>
      </w:r>
      <w:r w:rsidRPr="00B0734E">
        <w:t>pre-1740 and post-174</w:t>
      </w:r>
      <w:r>
        <w:t>0</w:t>
      </w:r>
    </w:p>
    <w:p w14:paraId="4DA647DC" w14:textId="77777777" w:rsidR="00286B8D" w:rsidRDefault="00241118" w:rsidP="00286B8D">
      <w:pPr>
        <w:keepNext/>
        <w:jc w:val="center"/>
      </w:pPr>
      <w:r>
        <w:rPr>
          <w:noProof/>
        </w:rPr>
        <w:drawing>
          <wp:inline distT="0" distB="0" distL="0" distR="0" wp14:anchorId="339BA39C" wp14:editId="46E83505">
            <wp:extent cx="386715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iceMale.png"/>
                    <pic:cNvPicPr/>
                  </pic:nvPicPr>
                  <pic:blipFill rotWithShape="1">
                    <a:blip r:embed="rId11">
                      <a:extLst>
                        <a:ext uri="{28A0092B-C50C-407E-A947-70E740481C1C}">
                          <a14:useLocalDpi xmlns:a14="http://schemas.microsoft.com/office/drawing/2010/main" val="0"/>
                        </a:ext>
                      </a:extLst>
                    </a:blip>
                    <a:srcRect l="18270" t="9561" r="16666" b="15465"/>
                    <a:stretch/>
                  </pic:blipFill>
                  <pic:spPr bwMode="auto">
                    <a:xfrm>
                      <a:off x="0" y="0"/>
                      <a:ext cx="3867150" cy="2838450"/>
                    </a:xfrm>
                    <a:prstGeom prst="rect">
                      <a:avLst/>
                    </a:prstGeom>
                    <a:ln>
                      <a:noFill/>
                    </a:ln>
                    <a:extLst>
                      <a:ext uri="{53640926-AAD7-44D8-BBD7-CCE9431645EC}">
                        <a14:shadowObscured xmlns:a14="http://schemas.microsoft.com/office/drawing/2010/main"/>
                      </a:ext>
                    </a:extLst>
                  </pic:spPr>
                </pic:pic>
              </a:graphicData>
            </a:graphic>
          </wp:inline>
        </w:drawing>
      </w:r>
    </w:p>
    <w:p w14:paraId="0D71D1F0" w14:textId="2974E944" w:rsidR="00241118" w:rsidRDefault="00286B8D" w:rsidP="00286B8D">
      <w:pPr>
        <w:pStyle w:val="Caption"/>
        <w:jc w:val="center"/>
      </w:pPr>
      <w:r>
        <w:t xml:space="preserve">Figure </w:t>
      </w:r>
      <w:fldSimple w:instr=" SEQ Figure \* ARABIC ">
        <w:r w:rsidR="00F9489A">
          <w:rPr>
            <w:noProof/>
          </w:rPr>
          <w:t>2</w:t>
        </w:r>
      </w:fldSimple>
      <w:r w:rsidRPr="002D4E35">
        <w:t>: A mosaic representation of the Chi-Squared/Kendall's Tau-B Table of data</w:t>
      </w:r>
    </w:p>
    <w:p w14:paraId="1CB96025" w14:textId="3C11AEF5" w:rsidR="001B09DC" w:rsidRDefault="001B09DC" w:rsidP="00241118">
      <w:pPr>
        <w:ind w:firstLine="720"/>
      </w:pPr>
      <w:r>
        <w:t xml:space="preserve">The </w:t>
      </w:r>
      <w:r w:rsidR="00907D4D">
        <w:t>second</w:t>
      </w:r>
      <w:r w:rsidR="00907D4D">
        <w:t xml:space="preserve"> </w:t>
      </w:r>
      <w:r>
        <w:t>statistical anomaly</w:t>
      </w:r>
      <w:r>
        <w:t xml:space="preserve"> </w:t>
      </w:r>
      <w:r w:rsidR="0019420A">
        <w:t xml:space="preserve">is much like the first, except the role of gender was included to determine if it played any part. </w:t>
      </w:r>
      <w:r w:rsidR="00F33F53">
        <w:t xml:space="preserve">The anomaly </w:t>
      </w:r>
      <w:r>
        <w:t xml:space="preserve">was found with a working hypothesis that there is an </w:t>
      </w:r>
      <w:r w:rsidRPr="00BE2B16">
        <w:t>association between male</w:t>
      </w:r>
      <w:r>
        <w:t>s charged with</w:t>
      </w:r>
      <w:r w:rsidRPr="00BE2B16">
        <w:t xml:space="preserve"> homicide </w:t>
      </w:r>
      <w:r>
        <w:t xml:space="preserve">and found </w:t>
      </w:r>
      <w:r w:rsidRPr="00BE2B16">
        <w:t>guilty pre</w:t>
      </w:r>
      <w:r>
        <w:t>-</w:t>
      </w:r>
      <w:r w:rsidRPr="00BE2B16">
        <w:t>1740 and post</w:t>
      </w:r>
      <w:r>
        <w:t>-</w:t>
      </w:r>
      <w:r w:rsidRPr="00BE2B16">
        <w:t>1740 at the Old Bailey</w:t>
      </w:r>
      <w:r>
        <w:t xml:space="preserve"> or in Surrey/Sussex.</w:t>
      </w:r>
    </w:p>
    <w:p w14:paraId="1032BFEB" w14:textId="45267284" w:rsidR="00F9489A" w:rsidRDefault="00907D4D" w:rsidP="00F9489A">
      <w:pPr>
        <w:pStyle w:val="Heading2"/>
      </w:pPr>
      <w:r>
        <w:lastRenderedPageBreak/>
        <w:t>Females Sentenced to Death for Infanticide</w:t>
      </w:r>
      <w:r w:rsidRPr="00907D4D">
        <w:t xml:space="preserve"> between 1663-1802</w:t>
      </w:r>
    </w:p>
    <w:p w14:paraId="33464A74" w14:textId="77777777" w:rsidR="00F9489A" w:rsidRDefault="00F9489A" w:rsidP="00F9489A">
      <w:pPr>
        <w:keepNext/>
        <w:jc w:val="center"/>
      </w:pPr>
      <w:r>
        <w:rPr>
          <w:noProof/>
        </w:rPr>
        <w:drawing>
          <wp:inline distT="0" distB="0" distL="0" distR="0" wp14:anchorId="606823CA" wp14:editId="4C086FF4">
            <wp:extent cx="378142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anticideGender.png"/>
                    <pic:cNvPicPr/>
                  </pic:nvPicPr>
                  <pic:blipFill rotWithShape="1">
                    <a:blip r:embed="rId12">
                      <a:extLst>
                        <a:ext uri="{28A0092B-C50C-407E-A947-70E740481C1C}">
                          <a14:useLocalDpi xmlns:a14="http://schemas.microsoft.com/office/drawing/2010/main" val="0"/>
                        </a:ext>
                      </a:extLst>
                    </a:blip>
                    <a:srcRect l="18910" t="9057" r="17468" b="15213"/>
                    <a:stretch/>
                  </pic:blipFill>
                  <pic:spPr bwMode="auto">
                    <a:xfrm>
                      <a:off x="0" y="0"/>
                      <a:ext cx="3781425" cy="2867025"/>
                    </a:xfrm>
                    <a:prstGeom prst="rect">
                      <a:avLst/>
                    </a:prstGeom>
                    <a:ln>
                      <a:noFill/>
                    </a:ln>
                    <a:extLst>
                      <a:ext uri="{53640926-AAD7-44D8-BBD7-CCE9431645EC}">
                        <a14:shadowObscured xmlns:a14="http://schemas.microsoft.com/office/drawing/2010/main"/>
                      </a:ext>
                    </a:extLst>
                  </pic:spPr>
                </pic:pic>
              </a:graphicData>
            </a:graphic>
          </wp:inline>
        </w:drawing>
      </w:r>
    </w:p>
    <w:p w14:paraId="24EFAADD" w14:textId="5E24CF02" w:rsidR="00F9489A" w:rsidRDefault="00F9489A" w:rsidP="00F9489A">
      <w:pPr>
        <w:pStyle w:val="Caption"/>
        <w:jc w:val="center"/>
      </w:pPr>
      <w:r>
        <w:t xml:space="preserve">Figure </w:t>
      </w:r>
      <w:fldSimple w:instr=" SEQ Figure \* ARABIC ">
        <w:r>
          <w:rPr>
            <w:noProof/>
          </w:rPr>
          <w:t>3</w:t>
        </w:r>
      </w:fldSimple>
      <w:r w:rsidRPr="00F94906">
        <w:t>: A mosaic representation of the Chi-Squared/Kendall's Tau-B Table of data</w:t>
      </w:r>
    </w:p>
    <w:p w14:paraId="66F3514C" w14:textId="7F6A1D36" w:rsidR="00060CBB" w:rsidRDefault="00060CBB" w:rsidP="00F9489A">
      <w:pPr>
        <w:ind w:firstLine="720"/>
      </w:pPr>
      <w:r>
        <w:t xml:space="preserve">The </w:t>
      </w:r>
      <w:r w:rsidR="00907D4D">
        <w:t>third</w:t>
      </w:r>
      <w:r w:rsidR="00907D4D">
        <w:t xml:space="preserve"> </w:t>
      </w:r>
      <w:r>
        <w:t>statistical anomaly was found with a working hypothesis that</w:t>
      </w:r>
      <w:r>
        <w:t xml:space="preserve"> </w:t>
      </w:r>
      <w:r w:rsidRPr="00060CBB">
        <w:t xml:space="preserve">there is an association between being female and being sentenced to death for infanticide </w:t>
      </w:r>
      <w:r w:rsidRPr="00060CBB">
        <w:t>between 1663-1802</w:t>
      </w:r>
      <w:r>
        <w:t xml:space="preserve"> </w:t>
      </w:r>
      <w:r w:rsidRPr="00060CBB">
        <w:t xml:space="preserve">at the Old Bailey </w:t>
      </w:r>
      <w:r>
        <w:t>or in Surrey/Sussex</w:t>
      </w:r>
      <w:r>
        <w:t>.</w:t>
      </w:r>
    </w:p>
    <w:sectPr w:rsidR="00060C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Dodd" w:date="2018-03-29T20:04:00Z" w:initials="MD">
    <w:p w14:paraId="2F0A6241" w14:textId="2B9DF4D6" w:rsidR="004F3447" w:rsidRDefault="004F3447">
      <w:pPr>
        <w:pStyle w:val="CommentText"/>
      </w:pPr>
      <w:r>
        <w:rPr>
          <w:rStyle w:val="CommentReference"/>
        </w:rPr>
        <w:annotationRef/>
      </w:r>
      <w:r w:rsidR="00B1785C">
        <w:t>Why those tests? Are there better ones that could show more?</w:t>
      </w:r>
    </w:p>
  </w:comment>
  <w:comment w:id="1" w:author="Matthew Dodd" w:date="2018-03-29T20:08:00Z" w:initials="MD">
    <w:p w14:paraId="6E66847E" w14:textId="53A9AF9B" w:rsidR="00727308" w:rsidRDefault="00727308">
      <w:pPr>
        <w:pStyle w:val="CommentText"/>
      </w:pPr>
      <w:r>
        <w:rPr>
          <w:rStyle w:val="CommentReference"/>
        </w:rPr>
        <w:annotationRef/>
      </w:r>
      <w:r>
        <w:t>Need to discuss using OB then Beattie vs Beattie then 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A6241" w15:done="0"/>
  <w15:commentEx w15:paraId="6E6684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A6241" w16cid:durableId="1E67C543"/>
  <w16cid:commentId w16cid:paraId="6E66847E" w16cid:durableId="1E67C6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07530" w14:textId="77777777" w:rsidR="00B36035" w:rsidRDefault="00B36035" w:rsidP="00B94179">
      <w:pPr>
        <w:spacing w:line="240" w:lineRule="auto"/>
      </w:pPr>
      <w:r>
        <w:separator/>
      </w:r>
    </w:p>
  </w:endnote>
  <w:endnote w:type="continuationSeparator" w:id="0">
    <w:p w14:paraId="16BE1FE2" w14:textId="77777777" w:rsidR="00B36035" w:rsidRDefault="00B36035" w:rsidP="00B94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81AA9" w14:textId="77777777" w:rsidR="00B36035" w:rsidRDefault="00B36035" w:rsidP="00B94179">
      <w:pPr>
        <w:spacing w:line="240" w:lineRule="auto"/>
      </w:pPr>
      <w:r>
        <w:separator/>
      </w:r>
    </w:p>
  </w:footnote>
  <w:footnote w:type="continuationSeparator" w:id="0">
    <w:p w14:paraId="515565C1" w14:textId="77777777" w:rsidR="00B36035" w:rsidRDefault="00B36035" w:rsidP="00B94179">
      <w:pPr>
        <w:spacing w:line="240" w:lineRule="auto"/>
      </w:pPr>
      <w:r>
        <w:continuationSeparator/>
      </w:r>
    </w:p>
  </w:footnote>
  <w:footnote w:id="1">
    <w:p w14:paraId="1AFBD2F9" w14:textId="74473061" w:rsidR="00B94179" w:rsidRDefault="00B94179">
      <w:pPr>
        <w:pStyle w:val="FootnoteText"/>
      </w:pPr>
      <w:r>
        <w:rPr>
          <w:rStyle w:val="FootnoteReference"/>
        </w:rPr>
        <w:footnoteRef/>
      </w:r>
      <w:r>
        <w:t xml:space="preserve"> </w:t>
      </w:r>
      <w:r w:rsidRPr="00B94179">
        <w:t>http://uregina.ca/~gingrich/ch11a.pdf</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Dodd">
    <w15:presenceInfo w15:providerId="Windows Live" w15:userId="1cda1fc714d8dd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A73"/>
    <w:rsid w:val="00060CBB"/>
    <w:rsid w:val="00067651"/>
    <w:rsid w:val="0019420A"/>
    <w:rsid w:val="001B09DC"/>
    <w:rsid w:val="001E70D6"/>
    <w:rsid w:val="00233F10"/>
    <w:rsid w:val="00241118"/>
    <w:rsid w:val="00276117"/>
    <w:rsid w:val="002838F3"/>
    <w:rsid w:val="00286B8D"/>
    <w:rsid w:val="002F441B"/>
    <w:rsid w:val="004F3447"/>
    <w:rsid w:val="00645C60"/>
    <w:rsid w:val="00676237"/>
    <w:rsid w:val="00727308"/>
    <w:rsid w:val="007E2C97"/>
    <w:rsid w:val="00866850"/>
    <w:rsid w:val="00907D4D"/>
    <w:rsid w:val="0092643E"/>
    <w:rsid w:val="0098523C"/>
    <w:rsid w:val="00A31B32"/>
    <w:rsid w:val="00B0734E"/>
    <w:rsid w:val="00B1785C"/>
    <w:rsid w:val="00B311C5"/>
    <w:rsid w:val="00B36035"/>
    <w:rsid w:val="00B94179"/>
    <w:rsid w:val="00BC42D3"/>
    <w:rsid w:val="00BE2B16"/>
    <w:rsid w:val="00BE60BC"/>
    <w:rsid w:val="00C11A73"/>
    <w:rsid w:val="00D857BA"/>
    <w:rsid w:val="00DB0C91"/>
    <w:rsid w:val="00DB5302"/>
    <w:rsid w:val="00DC6591"/>
    <w:rsid w:val="00EA381C"/>
    <w:rsid w:val="00EA7F48"/>
    <w:rsid w:val="00F33F53"/>
    <w:rsid w:val="00F526BB"/>
    <w:rsid w:val="00F667D7"/>
    <w:rsid w:val="00F9489A"/>
    <w:rsid w:val="00FB5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FC0F"/>
  <w15:docId w15:val="{EC6637A8-0C3D-4AFD-8C78-6553C783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8F3"/>
    <w:pPr>
      <w:spacing w:after="0" w:line="480" w:lineRule="auto"/>
    </w:pPr>
    <w:rPr>
      <w:rFonts w:ascii="Arial" w:hAnsi="Arial"/>
      <w:sz w:val="24"/>
    </w:rPr>
  </w:style>
  <w:style w:type="paragraph" w:styleId="Heading2">
    <w:name w:val="heading 2"/>
    <w:basedOn w:val="Normal"/>
    <w:next w:val="Normal"/>
    <w:link w:val="Heading2Char"/>
    <w:uiPriority w:val="9"/>
    <w:unhideWhenUsed/>
    <w:qFormat/>
    <w:rsid w:val="00B0734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7651"/>
    <w:rPr>
      <w:sz w:val="16"/>
      <w:szCs w:val="16"/>
    </w:rPr>
  </w:style>
  <w:style w:type="paragraph" w:styleId="CommentText">
    <w:name w:val="annotation text"/>
    <w:basedOn w:val="Normal"/>
    <w:link w:val="CommentTextChar"/>
    <w:uiPriority w:val="99"/>
    <w:semiHidden/>
    <w:unhideWhenUsed/>
    <w:rsid w:val="00067651"/>
    <w:pPr>
      <w:spacing w:line="240" w:lineRule="auto"/>
    </w:pPr>
    <w:rPr>
      <w:sz w:val="20"/>
      <w:szCs w:val="20"/>
    </w:rPr>
  </w:style>
  <w:style w:type="character" w:customStyle="1" w:styleId="CommentTextChar">
    <w:name w:val="Comment Text Char"/>
    <w:basedOn w:val="DefaultParagraphFont"/>
    <w:link w:val="CommentText"/>
    <w:uiPriority w:val="99"/>
    <w:semiHidden/>
    <w:rsid w:val="00067651"/>
    <w:rPr>
      <w:sz w:val="20"/>
      <w:szCs w:val="20"/>
    </w:rPr>
  </w:style>
  <w:style w:type="paragraph" w:styleId="CommentSubject">
    <w:name w:val="annotation subject"/>
    <w:basedOn w:val="CommentText"/>
    <w:next w:val="CommentText"/>
    <w:link w:val="CommentSubjectChar"/>
    <w:uiPriority w:val="99"/>
    <w:semiHidden/>
    <w:unhideWhenUsed/>
    <w:rsid w:val="00067651"/>
    <w:rPr>
      <w:b/>
      <w:bCs/>
    </w:rPr>
  </w:style>
  <w:style w:type="character" w:customStyle="1" w:styleId="CommentSubjectChar">
    <w:name w:val="Comment Subject Char"/>
    <w:basedOn w:val="CommentTextChar"/>
    <w:link w:val="CommentSubject"/>
    <w:uiPriority w:val="99"/>
    <w:semiHidden/>
    <w:rsid w:val="00067651"/>
    <w:rPr>
      <w:b/>
      <w:bCs/>
      <w:sz w:val="20"/>
      <w:szCs w:val="20"/>
    </w:rPr>
  </w:style>
  <w:style w:type="paragraph" w:styleId="BalloonText">
    <w:name w:val="Balloon Text"/>
    <w:basedOn w:val="Normal"/>
    <w:link w:val="BalloonTextChar"/>
    <w:uiPriority w:val="99"/>
    <w:semiHidden/>
    <w:unhideWhenUsed/>
    <w:rsid w:val="000676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51"/>
    <w:rPr>
      <w:rFonts w:ascii="Tahoma" w:hAnsi="Tahoma" w:cs="Tahoma"/>
      <w:sz w:val="16"/>
      <w:szCs w:val="16"/>
    </w:rPr>
  </w:style>
  <w:style w:type="character" w:customStyle="1" w:styleId="Heading2Char">
    <w:name w:val="Heading 2 Char"/>
    <w:basedOn w:val="DefaultParagraphFont"/>
    <w:link w:val="Heading2"/>
    <w:uiPriority w:val="9"/>
    <w:rsid w:val="00B0734E"/>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B94179"/>
    <w:pPr>
      <w:spacing w:line="240" w:lineRule="auto"/>
    </w:pPr>
    <w:rPr>
      <w:sz w:val="20"/>
      <w:szCs w:val="20"/>
    </w:rPr>
  </w:style>
  <w:style w:type="character" w:customStyle="1" w:styleId="FootnoteTextChar">
    <w:name w:val="Footnote Text Char"/>
    <w:basedOn w:val="DefaultParagraphFont"/>
    <w:link w:val="FootnoteText"/>
    <w:uiPriority w:val="99"/>
    <w:semiHidden/>
    <w:rsid w:val="00B94179"/>
    <w:rPr>
      <w:rFonts w:ascii="Arial" w:hAnsi="Arial"/>
      <w:sz w:val="20"/>
      <w:szCs w:val="20"/>
    </w:rPr>
  </w:style>
  <w:style w:type="character" w:styleId="FootnoteReference">
    <w:name w:val="footnote reference"/>
    <w:basedOn w:val="DefaultParagraphFont"/>
    <w:uiPriority w:val="99"/>
    <w:semiHidden/>
    <w:unhideWhenUsed/>
    <w:rsid w:val="00B94179"/>
    <w:rPr>
      <w:vertAlign w:val="superscript"/>
    </w:rPr>
  </w:style>
  <w:style w:type="paragraph" w:styleId="Caption">
    <w:name w:val="caption"/>
    <w:basedOn w:val="Normal"/>
    <w:next w:val="Normal"/>
    <w:uiPriority w:val="35"/>
    <w:unhideWhenUsed/>
    <w:qFormat/>
    <w:rsid w:val="00A31B3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74368-226C-4A1A-8D6E-C0EDD68A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AADNC-AANDC</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Dodd</dc:creator>
  <cp:keywords/>
  <dc:description/>
  <cp:lastModifiedBy>Matthew Dodd</cp:lastModifiedBy>
  <cp:revision>29</cp:revision>
  <dcterms:created xsi:type="dcterms:W3CDTF">2018-03-27T16:43:00Z</dcterms:created>
  <dcterms:modified xsi:type="dcterms:W3CDTF">2018-03-30T01:41:00Z</dcterms:modified>
</cp:coreProperties>
</file>