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is to create a new column named response that will have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is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will be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are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is 27,074, and</w:t>
      </w:r>
      <w:r>
        <w:t xml:space="preserve"> </w:t>
      </w:r>
      <w:r>
        <w:t xml:space="preserve">“</w:t>
      </w:r>
      <w:r>
        <w:t xml:space="preserve">Bad</w:t>
      </w:r>
      <w:r>
        <w:t xml:space="preserve">”</w:t>
      </w:r>
      <w:r>
        <w:t xml:space="preserve"> </w:t>
      </w:r>
      <w:r>
        <w:t xml:space="preserve">is 7,581.</w:t>
      </w:r>
    </w:p>
    <w:p>
      <w:pPr>
        <w:pStyle w:val="BodyText"/>
      </w:pPr>
      <w:r>
        <w:t xml:space="preserve">There are variables that can be removed, because they are not useful. For example, the status variable may be removed, because it has been transformed into the response variable. The totalPaid variable can be removed, because it is not knowable at the time of issue of a loan.</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totalBal and totalLim can be used as proxies for totalRevLim, totalRevBal, totalBcLim,bcOpen, and totalIlLim. Further debtIncRatio, avgBal can be removed because they can be derived from other variables like income, totalBal, and openAcc. Remove totalAcc, because we are interested in accounts that are currently open and this is already captured in openAcc. Remove the variable term, because payment captures this information. The loan term and payment amount are dependent on each other. The variable accOpen24 can be removed, because if an account is opened there will likely be a credit inquiry, which is captured in inq6mth. Also, amount can be removed, because it is related to payment.</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 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there distributions are bimodal, which violates condition of normality, so debtIncRatio was used as a proxy. The variable payment was found to be strongly correlated with amount, and was removed. The variable openAcc was found not to be significant and was removed. The variable loanid was removed because it is just an identifier and has no predictive power.</w:t>
      </w:r>
    </w:p>
    <w:p>
      <w:pPr>
        <w:pStyle w:val="BodyText"/>
      </w:pPr>
      <w:r>
        <w:t xml:space="preserve">delinq2yr and inq6mth are highly right skewed</w:t>
      </w:r>
    </w:p>
    <w:p>
      <w:pPr>
        <w:pStyle w:val="BodyText"/>
      </w:pPr>
      <w:r>
        <w:t xml:space="preserve">After elimination of variables, the predictors that are left are amount, home, income, debtIncRat, delinq2yr and inq6mth. I converted income and amount to numeric, because they were showing up as factors. With the remaining variables, there is no imputation or record removal needed. The variable home is categorical, the rest are quantitative.</w:t>
      </w:r>
    </w:p>
    <w:p>
      <w:pPr>
        <w:pStyle w:val="Heading2"/>
      </w:pPr>
      <w:bookmarkStart w:id="25" w:name="exploring-and-transforming-the-data"/>
      <w:bookmarkEnd w:id="25"/>
      <w:r>
        <w:t xml:space="preserve">4. Exploring and Transforming the Data</w:t>
      </w:r>
    </w:p>
    <w:p>
      <w:pPr>
        <w:pStyle w:val="FirstParagraph"/>
      </w:pPr>
      <w:r>
        <w:t xml:space="preserve">The variables amount, payment, income, openAcc, totalBal, and totalLim showed varying degrees of right skewness. From inspection of histograms, the variables amount, payment, and income showed the most right skewness and were transformed by the log function. The variables totalBal and totalLim were transformed by taking the cubed root. The variable openAcc was transformed by the sqrt function. Histograms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transform_variabl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start to develop a picture of the relationships between the predictor variables, and the response, two boxplots 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a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he-logistic-model"/>
      <w:bookmarkEnd w:id="28"/>
      <w:r>
        <w:t xml:space="preserve">5. The Logistic Model</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6 1521 1527</w:t>
      </w:r>
      <w:r>
        <w:br w:type="textWrapping"/>
      </w:r>
      <w:r>
        <w:rPr>
          <w:rStyle w:val="VerbatimChar"/>
        </w:rPr>
        <w:t xml:space="preserve">##   Good    5 5399 5404</w:t>
      </w:r>
      <w:r>
        <w:br w:type="textWrapping"/>
      </w:r>
      <w:r>
        <w:rPr>
          <w:rStyle w:val="VerbatimChar"/>
        </w:rPr>
        <w:t xml:space="preserve">##   Sum    11 6920 6931</w:t>
      </w:r>
    </w:p>
    <w:p>
      <w:pPr>
        <w:pStyle w:val="SourceCode"/>
      </w:pPr>
      <w:r>
        <w:rPr>
          <w:rStyle w:val="VerbatimChar"/>
        </w:rPr>
        <w:t xml:space="preserve">## [1] "Proportion correctly predicted =  0.779829750396768"</w:t>
      </w:r>
    </w:p>
    <w:p>
      <w:pPr>
        <w:pStyle w:val="Heading2"/>
      </w:pPr>
      <w:bookmarkStart w:id="29" w:name="optimizing-the-threshold-for-accuracy"/>
      <w:bookmarkEnd w:id="29"/>
      <w:r>
        <w:t xml:space="preserve">6. Optimizing the Threshold for Accuracy</w:t>
      </w:r>
    </w:p>
    <w:p>
      <w:pPr>
        <w:pStyle w:val="SourceCode"/>
      </w:pPr>
      <w:r>
        <w:rPr>
          <w:rStyle w:val="VerbatimChar"/>
        </w:rPr>
        <w:t xml:space="preserve">##  [1] 0.7796855 0.7796855 0.7796855 0.7796855 0.7796855 0.7796855 0.7796855</w:t>
      </w:r>
      <w:r>
        <w:br w:type="textWrapping"/>
      </w:r>
      <w:r>
        <w:rPr>
          <w:rStyle w:val="VerbatimChar"/>
        </w:rPr>
        <w:t xml:space="preserve">##  [8] 0.7796855 0.7796855 0.7796855 0.7796855 0.7796855 0.7796855 0.7795412</w:t>
      </w:r>
      <w:r>
        <w:br w:type="textWrapping"/>
      </w:r>
      <w:r>
        <w:rPr>
          <w:rStyle w:val="VerbatimChar"/>
        </w:rPr>
        <w:t xml:space="preserve">## [15] 0.7793969 0.7795412 0.7782427 0.7756456 0.7703073 0.7541480 0.7268792</w:t>
      </w:r>
      <w:r>
        <w:br w:type="textWrapping"/>
      </w:r>
      <w:r>
        <w:rPr>
          <w:rStyle w:val="VerbatimChar"/>
        </w:rPr>
        <w:t xml:space="preserve">## [22] 0.6942721 0.6397345 0.5564854 0.4507286 0.3559371 0.2706680 0.2288270</w:t>
      </w:r>
      <w:r>
        <w:br w:type="textWrapping"/>
      </w:r>
      <w:r>
        <w:rPr>
          <w:rStyle w:val="VerbatimChar"/>
        </w:rPr>
        <w:t xml:space="preserve">## [29] 0.2204588 0.2203145</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accurac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7. Optimizing the Threshold for Profit</w:t>
      </w:r>
    </w:p>
    <w:p>
      <w:pPr>
        <w:pStyle w:val="SourceCode"/>
      </w:pPr>
      <w:r>
        <w:rPr>
          <w:rStyle w:val="VerbatimChar"/>
        </w:rPr>
        <w:t xml:space="preserve">##  [1] 1414003.0143 1414003.0143 1414003.0143 1414003.0143 1414003.0143</w:t>
      </w:r>
      <w:r>
        <w:br w:type="textWrapping"/>
      </w:r>
      <w:r>
        <w:rPr>
          <w:rStyle w:val="VerbatimChar"/>
        </w:rPr>
        <w:t xml:space="preserve">##  [6] 1414003.0143 1414003.0143 1414003.0143 1414003.0143 1414003.0143</w:t>
      </w:r>
      <w:r>
        <w:br w:type="textWrapping"/>
      </w:r>
      <w:r>
        <w:rPr>
          <w:rStyle w:val="VerbatimChar"/>
        </w:rPr>
        <w:t xml:space="preserve">## [11] 1414003.0143 1414003.0143 1414003.0143 1407659.1568 1412851.7087</w:t>
      </w:r>
      <w:r>
        <w:br w:type="textWrapping"/>
      </w:r>
      <w:r>
        <w:rPr>
          <w:rStyle w:val="VerbatimChar"/>
        </w:rPr>
        <w:t xml:space="preserve">## [16] 1437544.6476 1495318.5445 1630655.6369 1866902.5305 1808234.6704</w:t>
      </w:r>
      <w:r>
        <w:br w:type="textWrapping"/>
      </w:r>
      <w:r>
        <w:rPr>
          <w:rStyle w:val="VerbatimChar"/>
        </w:rPr>
        <w:t xml:space="preserve">## [21] 1899977.6480 2246771.3516 2267091.6046 1888458.9946 1251243.1485</w:t>
      </w:r>
      <w:r>
        <w:br w:type="textWrapping"/>
      </w:r>
      <w:r>
        <w:rPr>
          <w:rStyle w:val="VerbatimChar"/>
        </w:rPr>
        <w:t xml:space="preserve">## [26]  709985.0068  172995.0737   -8003.6832     631.5367       0.0000</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profi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results-summary"/>
      <w:bookmarkEnd w:id="32"/>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24e3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2018-07-30T19:40:21Z</dcterms:created>
  <dcterms:modified xsi:type="dcterms:W3CDTF">2018-07-30T19:40:21Z</dcterms:modified>
</cp:coreProperties>
</file>