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also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income, delinq2yr, inq6mth showed varying degrees of right skewness. From inspection of histograms, the variable amount, payment and income showed the most right skewness and were transformed by the log function. The variables delinq2yr and inq6mth were transformed by taking the cubed root. Histograms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plot_variable_hi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develop a picture of the relationships between the predictor variables, and the response, two boxplots for each response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each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for cube_rt_delinq2yr, the variable delinq2yr was removed from the model, because even after transformation it is extremely right skewed. Taking it out of the model did not effect the accuracy or profit predictions significantly.</w:t>
      </w:r>
    </w:p>
    <w:p>
      <w:pPr>
        <w:pStyle w:val="BodyText"/>
      </w:pPr>
      <w:r>
        <w:t xml:space="preserve">After plotting and exploring of several other predictors, the shapes of bcOpen and totalBcLim after cube root transformation were found to be close to normal. Adding them to the model decreased AIC, and increased predictive power. The terms are significant. The variables bcOpen and totalBcLim which indicate credit card utilization may be proxies for totalBal and totalLim, which were removed because of their bimodal distributions. The variable bcOpen had 360 values with NA. These were removed from the data set.</w:t>
      </w:r>
    </w:p>
    <w:p>
      <w:pPr>
        <w:pStyle w:val="Heading2"/>
      </w:pPr>
      <w:bookmarkStart w:id="28" w:name="the-logistic-model"/>
      <w:bookmarkEnd w:id="28"/>
      <w:r>
        <w:t xml:space="preserve">5. The Logistic Model</w:t>
      </w:r>
    </w:p>
    <w:p>
      <w:pPr>
        <w:pStyle w:val="FirstParagraph"/>
      </w:pPr>
      <w:r>
        <w:t xml:space="preserve">From the summary of the model all the variables are very significant as indicated by p-values that are close to zero. Based on the VIF, the variables log_payment and log_amount show correlation. However, they are still very significant in the model, and will be kept.</w:t>
      </w:r>
    </w:p>
    <w:p>
      <w:pPr>
        <w:pStyle w:val="BodyText"/>
      </w:pPr>
      <w:r>
        <w:t xml:space="preserve">The model with the coefficients is below.</w:t>
      </w:r>
    </w:p>
    <w:p>
      <w:pPr>
        <w:pStyle w:val="BodyText"/>
      </w:pPr>
      <m:oMathPara>
        <m:oMathParaPr>
          <m:jc m:val="center"/>
        </m:oMathParaPr>
        <m:oMath>
          <m:groupChr>
            <m:groupChrPr>
              <m:chr m:val="ˆ"/>
              <m:pos m:val="top"/>
              <m:vertJc m:val="bot"/>
            </m:groupChrPr>
            <m:e>
              <m:r>
                <m:rPr>
                  <m:sty m:val="p"/>
                </m:rPr>
                <m:t>ln</m:t>
              </m:r>
              <m:d>
                <m:dPr>
                  <m:begChr m:val="("/>
                  <m:endChr m:val=")"/>
                  <m:grow/>
                </m:dPr>
                <m:e>
                  <m:f>
                    <m:fPr>
                      <m:type m:val="bar"/>
                    </m:fPr>
                    <m:num>
                      <m:r>
                        <m:t>P</m:t>
                      </m:r>
                      <m:r>
                        <m:t>(</m:t>
                      </m:r>
                      <m:r>
                        <m:t>G</m:t>
                      </m:r>
                      <m:r>
                        <m:t>o</m:t>
                      </m:r>
                      <m:r>
                        <m:t>o</m:t>
                      </m:r>
                      <m:r>
                        <m:t>d</m:t>
                      </m:r>
                      <m:r>
                        <m:t>)</m:t>
                      </m:r>
                    </m:num>
                    <m:den>
                      <m:r>
                        <m:t>1</m:t>
                      </m:r>
                      <m:r>
                        <m:t>−</m:t>
                      </m:r>
                      <m:r>
                        <m:t>P</m:t>
                      </m:r>
                      <m:r>
                        <m:t>(</m:t>
                      </m:r>
                      <m:r>
                        <m:t>G</m:t>
                      </m:r>
                      <m:r>
                        <m:t>o</m:t>
                      </m:r>
                      <m:r>
                        <m:t>o</m:t>
                      </m:r>
                      <m:r>
                        <m:t>d</m:t>
                      </m:r>
                      <m:r>
                        <m:t>)</m:t>
                      </m:r>
                    </m:den>
                  </m:f>
                </m:e>
              </m:d>
            </m:e>
          </m:groupChr>
          <m:r>
            <m:t>=</m:t>
          </m:r>
          <m:r>
            <m:t>5.181</m:t>
          </m:r>
          <m:r>
            <m:t>−</m:t>
          </m:r>
          <m:r>
            <m:t>1.875</m:t>
          </m:r>
          <m:r>
            <m:t>⋅</m:t>
          </m:r>
          <m:r>
            <m:rPr>
              <m:sty m:val="p"/>
            </m:rPr>
            <m:t>log_amount</m:t>
          </m:r>
          <m:r>
            <m:t>+</m:t>
          </m:r>
          <m:r>
            <m:t>1.468</m:t>
          </m:r>
          <m:r>
            <m:t>⋅</m:t>
          </m:r>
          <m:r>
            <m:rPr>
              <m:sty m:val="p"/>
            </m:rPr>
            <m:t>log_payment</m:t>
          </m:r>
          <m:r>
            <m:t>+</m:t>
          </m:r>
          <m:r>
            <m:t>0.467</m:t>
          </m:r>
          <m:r>
            <m:t>⋅</m:t>
          </m:r>
          <m:r>
            <m:rPr>
              <m:sty m:val="p"/>
            </m:rPr>
            <m:t>log_income</m:t>
          </m:r>
          <m:r>
            <m:t>−</m:t>
          </m:r>
          <m:r>
            <m:t>0.357</m:t>
          </m:r>
          <m:r>
            <m:t>⋅</m:t>
          </m:r>
          <m:r>
            <m:rPr>
              <m:sty m:val="p"/>
            </m:rPr>
            <m:t>verified</m:t>
          </m:r>
          <m:r>
            <m:t>−</m:t>
          </m:r>
          <m:r>
            <m:t>0.028</m:t>
          </m:r>
          <m:r>
            <m:t>⋅</m:t>
          </m:r>
          <m:r>
            <m:rPr>
              <m:sty m:val="p"/>
            </m:rPr>
            <m:t>debtIncRat</m:t>
          </m:r>
          <m:r>
            <m:t>−</m:t>
          </m:r>
          <m:r>
            <m:t>0.037</m:t>
          </m:r>
          <m:r>
            <m:t>⋅</m:t>
          </m:r>
          <m:r>
            <m:rPr>
              <m:sty m:val="p"/>
            </m:rPr>
            <m:t>cube_rt_inq6mth</m:t>
          </m:r>
          <m:r>
            <m:t>+</m:t>
          </m:r>
          <m:r>
            <m:t>0.018</m:t>
          </m:r>
          <m:r>
            <m:t>⋅</m:t>
          </m:r>
          <m:r>
            <m:rPr>
              <m:sty m:val="p"/>
            </m:rPr>
            <m:t>cube_rt_bcOpen</m:t>
          </m:r>
          <m:r>
            <m:t>+</m:t>
          </m:r>
          <m:r>
            <m:t>0.024</m:t>
          </m:r>
          <m:r>
            <m:t>⋅</m:t>
          </m:r>
          <m:r>
            <m:rPr>
              <m:sty m:val="p"/>
            </m:rPr>
            <m:t>cube_rt_totalBcLim</m:t>
          </m:r>
        </m:oMath>
      </m:oMathPara>
    </w:p>
    <w:p>
      <w:pPr>
        <w:pStyle w:val="FirstParagraph"/>
      </w:pPr>
      <w:r>
        <w:t xml:space="preserve">The contingency table along with the overall accuracy is below. The accuracy is at 79%. That is 79% of the time truly good or bad loans are classified correctly. Based on the accuracy and that the terms are all significant, this is a decent model. From the contingency table, there are relatively few loans predicted as bad compared to good loans. The model may be good at predicting good loans, and bad at predicting bad ones.</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27 1494 1521</w:t>
      </w:r>
      <w:r>
        <w:br w:type="textWrapping"/>
      </w:r>
      <w:r>
        <w:rPr>
          <w:rStyle w:val="VerbatimChar"/>
        </w:rPr>
        <w:t xml:space="preserve">##   Good   20 5318 5338</w:t>
      </w:r>
      <w:r>
        <w:br w:type="textWrapping"/>
      </w:r>
      <w:r>
        <w:rPr>
          <w:rStyle w:val="VerbatimChar"/>
        </w:rPr>
        <w:t xml:space="preserve">##   Sum    47 6812 6859</w:t>
      </w:r>
    </w:p>
    <w:p>
      <w:pPr>
        <w:pStyle w:val="SourceCode"/>
      </w:pPr>
      <w:r>
        <w:rPr>
          <w:rStyle w:val="VerbatimChar"/>
        </w:rPr>
        <w:t xml:space="preserve">## [1] "Proportion correctly predicted =  0.779268114885552"</w:t>
      </w:r>
    </w:p>
    <w:p>
      <w:pPr>
        <w:pStyle w:val="Heading2"/>
      </w:pPr>
      <w:bookmarkStart w:id="29" w:name="optimizing-the-threshold-for-accuracy"/>
      <w:bookmarkEnd w:id="29"/>
      <w:r>
        <w:t xml:space="preserve">6. Optimizing the Threshold for Accuracy</w:t>
      </w:r>
    </w:p>
    <w:p>
      <w:pPr>
        <w:pStyle w:val="FirstParagraph"/>
      </w:pPr>
      <w:r>
        <w:t xml:space="preserve">The maxmimum accuracy occurs near the threshold of .55. As you can see from the plot above of accuracy vs threshold, the accuracy is mostly flat from 0 to 0.6, but from inspection of the data peaks at .55. It then declines between 0.6 and 1.0.</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accurac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optimizing-the-threshold-for-profit"/>
      <w:bookmarkEnd w:id="31"/>
      <w:r>
        <w:t xml:space="preserve">7. Optimizing the Threshold for Profit</w:t>
      </w:r>
    </w:p>
    <w:p>
      <w:pPr>
        <w:pStyle w:val="FirstParagraph"/>
      </w:pPr>
      <w:r>
        <w:t xml:space="preserve">The maximum profit of $2,609,607 occurs at a threshold of .76. The best profit threshold corresponds to an accuracy of 65%. The profit where the model is the most accurate at a threshold of 55% is $1,247,186. The maximum accuracy and profit thresholds do not coincide.</w:t>
      </w:r>
    </w:p>
    <w:p>
      <w:pPr>
        <w:pStyle w:val="BodyText"/>
      </w:pPr>
      <w:r>
        <w:t xml:space="preserve">If no loans were denied the total profit would be $758,390. The increase from using the model is 244%.</w:t>
      </w:r>
    </w:p>
    <w:p>
      <w:pPr>
        <w:pStyle w:val="BodyText"/>
      </w:pPr>
      <w:r>
        <w:t xml:space="preserve">If the model had predicted all the good loans perfectly, the total profit would be $12,020,435, which represents an increase of 1485%. Perfect prediction is at least 6 times better, so may be the model could be improved.</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profit_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results-summary"/>
      <w:bookmarkEnd w:id="33"/>
      <w:r>
        <w:t xml:space="preserve">8. Results Summary</w:t>
      </w:r>
    </w:p>
    <w:p>
      <w:pPr>
        <w:pStyle w:val="FirstParagraph"/>
      </w:pPr>
      <w:r>
        <w:t xml:space="preserve">The classification threshold that produces the maximum profit is .76, which gives an accuracy of 65%.</w:t>
      </w:r>
    </w:p>
    <w:p>
      <w:pPr>
        <w:pStyle w:val="BodyText"/>
      </w:pPr>
      <w:r>
        <w:t xml:space="preserve">Given a bad loan, the model will correctly predict it 54% of the time.</w:t>
      </w:r>
    </w:p>
    <w:p>
      <w:pPr>
        <w:pStyle w:val="BodyText"/>
      </w:pPr>
      <w:r>
        <w:t xml:space="preserve">Given a good loan, the model will correctly predict it 68% of the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a38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2018-07-31T23:59:43Z</dcterms:created>
  <dcterms:modified xsi:type="dcterms:W3CDTF">2018-07-31T23:59:43Z</dcterms:modified>
</cp:coreProperties>
</file>