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CRC Onboarding Plan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A6E"/>
          <w:sz w:val="22"/>
          <w:szCs w:val="22"/>
        </w:rPr>
        <w:t xml:space="preserve">SOP-CR Series — Levels I–III (Interventional / Regulated Studies)</w:t>
      </w:r>
    </w:p>
    <w:p>
      <w:pPr>
        <w:spacing w:after="200"/>
      </w:pPr>
      <w:r>
        <w:rPr>
          <w:rFonts w:ascii="Arial" w:cs="Arial" w:eastAsia="Arial" w:hAnsi="Arial"/>
          <w:color w:val="474650"/>
          <w:sz w:val="16"/>
          <w:szCs w:val="16"/>
        </w:rPr>
        <w:t xml:space="preserve">A structured training and learning plan for Clinical Research Coordinators at the RI-MUHC. Organized by dependency — complete each phase before moving to the next. Grey rows are recommended but not required. SOP-specific reading is covered by the SOP Reader in Phase 2; individual SOPs are referenced in domain sections for ongoing reference only.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c>
          <w:tcPr>
            <w:tcW w:type="dxa" w:w="2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0E51"/>
                <w:sz w:val="16"/>
                <w:szCs w:val="16"/>
              </w:rPr>
              <w:t xml:space="preserve">Employee name</w:t>
            </w:r>
          </w:p>
        </w:tc>
        <w:tc>
          <w:tcPr>
            <w:tcW w:type="dxa" w:w="5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0E51"/>
                <w:sz w:val="16"/>
                <w:szCs w:val="16"/>
              </w:rPr>
              <w:t xml:space="preserve">Title and division</w:t>
            </w:r>
          </w:p>
        </w:tc>
        <w:tc>
          <w:tcPr>
            <w:tcW w:type="dxa" w:w="5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0E51"/>
                <w:sz w:val="16"/>
                <w:szCs w:val="16"/>
              </w:rPr>
              <w:t xml:space="preserve">Supervisor / PI</w:t>
            </w:r>
          </w:p>
        </w:tc>
        <w:tc>
          <w:tcPr>
            <w:tcW w:type="dxa" w:w="5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0E51"/>
                <w:sz w:val="16"/>
                <w:szCs w:val="16"/>
              </w:rPr>
              <w:t xml:space="preserve">Training level</w:t>
            </w:r>
          </w:p>
        </w:tc>
        <w:tc>
          <w:tcPr>
            <w:tcW w:type="dxa" w:w="5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0E51"/>
                <w:sz w:val="16"/>
                <w:szCs w:val="16"/>
              </w:rPr>
              <w:t xml:space="preserve">Start date</w:t>
            </w:r>
          </w:p>
        </w:tc>
        <w:tc>
          <w:tcPr>
            <w:tcW w:type="dxa" w:w="5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0E51"/>
                <w:sz w:val="16"/>
                <w:szCs w:val="16"/>
              </w:rPr>
              <w:t xml:space="preserve">Training period</w:t>
            </w:r>
          </w:p>
        </w:tc>
        <w:tc>
          <w:tcPr>
            <w:tcW w:type="dxa" w:w="5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50E51"/>
          <w:sz w:val="15"/>
          <w:szCs w:val="15"/>
        </w:rPr>
        <w:t xml:space="preserve">Loi 90 compliance: </w:t>
      </w:r>
      <w:r>
        <w:rPr>
          <w:rFonts w:ascii="Arial" w:cs="Arial" w:eastAsia="Arial" w:hAnsi="Arial"/>
          <w:color w:val="474650"/>
          <w:sz w:val="15"/>
          <w:szCs w:val="15"/>
        </w:rPr>
        <w:t xml:space="preserve">This plan can be used to complete the institutional On-the-Job Training form (Entraînement à la tâche). Transfer total training hours and trainer information to the Loi 90 form and submit to training-formation@muhc.mcgill.ca.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0E51"/>
          <w:sz w:val="15"/>
          <w:szCs w:val="15"/>
        </w:rPr>
        <w:t xml:space="preserve">Method column: </w:t>
      </w:r>
      <w:r>
        <w:rPr>
          <w:rFonts w:ascii="Arial" w:cs="Arial" w:eastAsia="Arial" w:hAnsi="Arial"/>
          <w:color w:val="474650"/>
          <w:sz w:val="15"/>
          <w:szCs w:val="15"/>
        </w:rPr>
        <w:t xml:space="preserve">Maps to the Loi 90 form’s “Teaching Method” field. E-learning = theoretical training. Observation = supervised practice. Discussion = other.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50E51"/>
          <w:sz w:val="15"/>
          <w:szCs w:val="15"/>
        </w:rPr>
        <w:t xml:space="preserve">SOP Reader: </w:t>
      </w:r>
      <w:r>
        <w:rPr>
          <w:rFonts w:ascii="Arial" w:cs="Arial" w:eastAsia="Arial" w:hAnsi="Arial"/>
          <w:color w:val="474650"/>
          <w:sz w:val="15"/>
          <w:szCs w:val="15"/>
        </w:rPr>
        <w:t xml:space="preserve">All SOPs for the employee’s training level are read through TalentLMS (Phase 2). Individual SOP references in Phase 4 are for ongoing operational reference — not additional reading requirements. If you are on leave for more than 6 months, training must be renewed before returning to study tasks (SOP-CR-002).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1200"/>
        <w:gridCol w:w="800"/>
        <w:gridCol w:w="1100"/>
        <w:gridCol w:w="1100"/>
        <w:gridCol w:w="800"/>
        <w:gridCol w:w="800"/>
        <w:gridCol w:w="1080"/>
      </w:tblGrid>
      <w:tr>
        <w:trPr>
          <w:tblHeader/>
        </w:trP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150E5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Training / Learning Item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150E5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Resource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150E5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150E5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150E5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150E5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Done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150E5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Hours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150E5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Initials</w:t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150E5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8E6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0E51"/>
                <w:sz w:val="16"/>
                <w:szCs w:val="16"/>
              </w:rPr>
              <w:t xml:space="preserve">Phase 1 — Institutional Setup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7A6E"/>
                <w:sz w:val="13"/>
                <w:szCs w:val="13"/>
              </w:rPr>
              <w:t xml:space="preserve">Learning objective: </w:t>
            </w:r>
            <w:r>
              <w:rPr>
                <w:rFonts w:ascii="Arial" w:cs="Arial" w:eastAsia="Arial" w:hAnsi="Arial"/>
                <w:color w:val="474650"/>
                <w:sz w:val="13"/>
                <w:szCs w:val="13"/>
              </w:rPr>
              <w:t xml:space="preserve">The CRC can navigate the MUHC as an employee: portal access, building access, mandatory institutional training, and familiarity with the research environment.</w:t>
            </w:r>
          </w:p>
          <w:p>
            <w:r>
              <w:rPr>
                <w:rFonts w:ascii="Arial" w:cs="Arial" w:eastAsia="Arial" w:hAnsi="Arial"/>
                <w:b/>
                <w:bCs/>
                <w:color w:val="007A6E"/>
                <w:sz w:val="13"/>
                <w:szCs w:val="13"/>
              </w:rPr>
              <w:t xml:space="preserve">Teaching method: </w:t>
            </w:r>
            <w:r>
              <w:rPr>
                <w:rFonts w:ascii="Arial" w:cs="Arial" w:eastAsia="Arial" w:hAnsi="Arial"/>
                <w:color w:val="474650"/>
                <w:sz w:val="13"/>
                <w:szCs w:val="13"/>
              </w:rPr>
              <w:t xml:space="preserve">Self-directed (online modules), orientation with supervisor, facility tour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Complete institutional orientation and HR onboarding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HR / Research Staff Handbook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Orientation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Obtain MUHC employee badge and building access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HR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In-person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Set up Logibec timesheet and payroll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HR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In-person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Activate RI-MUHC Portal account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Self-directed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Complete mandatory institutional training (EDI, cybersecurity, harassment prevention, intimate partner violence, emergency measures)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Obtain OACIS access (if required for your studies)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IT / Supervisor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In-person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Read the Research Staff Handbook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Research Staff Handbook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Review Clinical Research 101 and Study Lifecycle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9">
              <w:r>
                <w:rPr>
                  <w:color w:val="0563C1"/>
                  <w:u w:val="single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Review the PI / QI Pathway (understand PI accountability)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24">
              <w:r>
                <w:rPr>
                  <w:color w:val="0563C1"/>
                  <w:u w:val="single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Attend a Community Connect session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Research Facilitator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In-person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Meet clinical department contacts (pharmacy, lab, radiology)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Supervisor arranges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In-person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Shadow an experienced CRC during a study visit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Supervisor arranges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Observation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8E6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0E51"/>
                <w:sz w:val="16"/>
                <w:szCs w:val="16"/>
              </w:rPr>
              <w:t xml:space="preserve">Phase 2 — Clinical Research Training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7A6E"/>
                <w:sz w:val="13"/>
                <w:szCs w:val="13"/>
              </w:rPr>
              <w:t xml:space="preserve">Learning objective: </w:t>
            </w:r>
            <w:r>
              <w:rPr>
                <w:rFonts w:ascii="Arial" w:cs="Arial" w:eastAsia="Arial" w:hAnsi="Arial"/>
                <w:color w:val="474650"/>
                <w:sz w:val="13"/>
                <w:szCs w:val="13"/>
              </w:rPr>
              <w:t xml:space="preserve">The CRC has completed all required certifications and SOP training for their level and is eligible to be added to a Task Delegation Log.</w:t>
            </w:r>
          </w:p>
          <w:p>
            <w:r>
              <w:rPr>
                <w:rFonts w:ascii="Arial" w:cs="Arial" w:eastAsia="Arial" w:hAnsi="Arial"/>
                <w:b/>
                <w:bCs/>
                <w:color w:val="007A6E"/>
                <w:sz w:val="13"/>
                <w:szCs w:val="13"/>
              </w:rPr>
              <w:t xml:space="preserve">Teaching method: </w:t>
            </w:r>
            <w:r>
              <w:rPr>
                <w:rFonts w:ascii="Arial" w:cs="Arial" w:eastAsia="Arial" w:hAnsi="Arial"/>
                <w:color w:val="474650"/>
                <w:sz w:val="13"/>
                <w:szCs w:val="13"/>
              </w:rPr>
              <w:t xml:space="preserve">E-learning (TalentLMS, CITI or equivalent), self-study, online assessment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Explore TalentLMS (linked to Portal via single sign-on)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0">
              <w:r>
                <w:rPr>
                  <w:color w:val="0563C1"/>
                  <w:u w:val="single"/>
                  <w:sz w:val="14"/>
                  <w:szCs w:val="14"/>
                  <w:rFonts w:ascii="Arial" w:hAnsi="Arial"/>
                </w:rPr>
                <w:t xml:space="preserve">TalentLMS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Self-directed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Complete GCP certification (ICH E6)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CITI or recognized provider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Complete Health Canada Division 5 training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CITI or recognized provider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Complete ISO 14155 training (or use ICH-GCP in lieu)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ISO document / self-train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Complete the SOP Reader (all SOPs for your training level)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TalentLMS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Complete the Competency Assessment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TalentLMS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Assessment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Begin CANTRAIN Common Core Foundation (14 modules)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8E6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0E51"/>
                <w:sz w:val="16"/>
                <w:szCs w:val="16"/>
              </w:rPr>
              <w:t xml:space="preserve">Phase 3 — Study-Specific Preparation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7A6E"/>
                <w:sz w:val="13"/>
                <w:szCs w:val="13"/>
              </w:rPr>
              <w:t xml:space="preserve">Learning objective: </w:t>
            </w:r>
            <w:r>
              <w:rPr>
                <w:rFonts w:ascii="Arial" w:cs="Arial" w:eastAsia="Arial" w:hAnsi="Arial"/>
                <w:color w:val="474650"/>
                <w:sz w:val="13"/>
                <w:szCs w:val="13"/>
              </w:rPr>
              <w:t xml:space="preserve">The CRC is listed on the Task Delegation Log, has completed protocol-specific training, and the ISF is ready for the first study task.</w:t>
            </w:r>
          </w:p>
          <w:p>
            <w:r>
              <w:rPr>
                <w:rFonts w:ascii="Arial" w:cs="Arial" w:eastAsia="Arial" w:hAnsi="Arial"/>
                <w:b/>
                <w:bCs/>
                <w:color w:val="007A6E"/>
                <w:sz w:val="13"/>
                <w:szCs w:val="13"/>
              </w:rPr>
              <w:t xml:space="preserve">Teaching method: </w:t>
            </w:r>
            <w:r>
              <w:rPr>
                <w:rFonts w:ascii="Arial" w:cs="Arial" w:eastAsia="Arial" w:hAnsi="Arial"/>
                <w:color w:val="474650"/>
                <w:sz w:val="13"/>
                <w:szCs w:val="13"/>
              </w:rPr>
              <w:t xml:space="preserve">Protocol training (SIV or equivalent), supervised setup, self-study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Review the study protocol thoroughly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PI / Sponsor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Attend the Site Initiation Visit (or equivalent protocol training)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Sponsor / PI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Training session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Complete sponsor EDC system training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Sponsor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Complete REDCap training (if applicable)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2">
              <w:r>
                <w:rPr>
                  <w:color w:val="0563C1"/>
                  <w:u w:val="single"/>
                  <w:sz w:val="14"/>
                  <w:szCs w:val="14"/>
                  <w:rFonts w:ascii="Arial" w:hAnsi="Arial"/>
                </w:rPr>
                <w:t xml:space="preserve">CORD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Confirm delegation log is signed by PI with your tasks listed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PI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Supervised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Confirm training certificates filed in ISF (CV, GCP, TalentLMS)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ISF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Documentation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Confirm MUHC Authorization letter is filed in ISF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Nagano / QA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Documentation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For Division 5 drug studies: confirm QI/PI has signed the QIU form (not FDA 1572)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PI / SOP-CR-002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Documentation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Sign confidentiality agreement or NDA if required by Sponsor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Sponsor / PI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Documentation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Review the CRC Guide — Pre-Activation section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3">
              <w:r>
                <w:rPr>
                  <w:color w:val="0563C1"/>
                  <w:u w:val="single"/>
                </w:rPr>
                <w:t xml:space="preserve">CRC Guide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Review relevant chapters of the Nagano User Guide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4">
              <w:r>
                <w:rPr>
                  <w:color w:val="0563C1"/>
                  <w:u w:val="single"/>
                </w:rPr>
                <w:t xml:space="preserve">Nagano Guide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8E6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0E51"/>
                <w:sz w:val="16"/>
                <w:szCs w:val="16"/>
              </w:rPr>
              <w:t xml:space="preserve">Phase 4 — Domain Knowledge Building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7A6E"/>
                <w:sz w:val="13"/>
                <w:szCs w:val="13"/>
              </w:rPr>
              <w:t xml:space="preserve">Learning objective: </w:t>
            </w:r>
            <w:r>
              <w:rPr>
                <w:rFonts w:ascii="Arial" w:cs="Arial" w:eastAsia="Arial" w:hAnsi="Arial"/>
                <w:color w:val="474650"/>
                <w:sz w:val="13"/>
                <w:szCs w:val="13"/>
              </w:rPr>
              <w:t xml:space="preserve">The CRC has working knowledge of each competency domain relevant to their study type, has completed shadowing activities, and can discuss key procedures with their supervisor.</w:t>
            </w:r>
          </w:p>
          <w:p>
            <w:r>
              <w:rPr>
                <w:rFonts w:ascii="Arial" w:cs="Arial" w:eastAsia="Arial" w:hAnsi="Arial"/>
                <w:b/>
                <w:bCs/>
                <w:color w:val="007A6E"/>
                <w:sz w:val="13"/>
                <w:szCs w:val="13"/>
              </w:rPr>
              <w:t xml:space="preserve">Teaching method: </w:t>
            </w:r>
            <w:r>
              <w:rPr>
                <w:rFonts w:ascii="Arial" w:cs="Arial" w:eastAsia="Arial" w:hAnsi="Arial"/>
                <w:color w:val="474650"/>
                <w:sz w:val="13"/>
                <w:szCs w:val="13"/>
              </w:rPr>
              <w:t xml:space="preserve">Self-study (KB articles), CANTRAIN courses, supervised observation, discussion with supervisor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Read the CRC Guide for your study type (Interventional, Levels I–III)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3">
              <w:r>
                <w:rPr>
                  <w:color w:val="0563C1"/>
                  <w:u w:val="single"/>
                </w:rPr>
                <w:t xml:space="preserve">CRC Guide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5F3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0E51"/>
                <w:sz w:val="14"/>
                <w:szCs w:val="14"/>
              </w:rPr>
              <w:t xml:space="preserve">Informed consent (Levels I–IV)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Read: Consent in Quebec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5">
              <w:r>
                <w:rPr>
                  <w:color w:val="0563C1"/>
                  <w:u w:val="single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I–IV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CANTRAIN: Informed Consent Process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I–IV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CANTRAIN: Informed Consent — Vulnerable Populations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I–IV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Shadow: Observe a consent session with an experienced CRC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Supervisor arranges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Observation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I–IV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Discuss: Consent requirements for your study (Quebec-specific rules, Art. 21)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Supervisor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Discussion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I–IV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5F3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0E51"/>
                <w:sz w:val="14"/>
                <w:szCs w:val="14"/>
              </w:rPr>
              <w:t xml:space="preserve">Recruitment and screening (Levels I–IV)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Read: Recruitment, Screening and Enrollment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6">
              <w:r>
                <w:rPr>
                  <w:color w:val="0563C1"/>
                  <w:u w:val="single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I–IV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CANTRAIN: Participant Recruitment and its Challenges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I–IV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Shadow: Observe a pre-screening session (OACIS chart review)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Supervisor arranges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Observation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I–IV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5F3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0E51"/>
                <w:sz w:val="14"/>
                <w:szCs w:val="14"/>
              </w:rPr>
              <w:t xml:space="preserve">Data collection and integrity (All levels)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Read: Data Integrity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7">
              <w:r>
                <w:rPr>
                  <w:color w:val="0563C1"/>
                  <w:u w:val="single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CANTRAIN: Data Collection and Management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5F3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0E51"/>
                <w:sz w:val="14"/>
                <w:szCs w:val="14"/>
              </w:rPr>
              <w:t xml:space="preserve">Safety reporting — AE/SAE (Levels I–III)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Read: Reportable Events and Ethical Concerns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8">
              <w:r>
                <w:rPr>
                  <w:color w:val="0563C1"/>
                  <w:u w:val="single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CANTRAIN: Safety Management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Shadow: Observe how an experienced CRC documents an AE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Supervisor arranges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Observation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CANTRAIN: Introduction to Vaccine Trials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5F3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0E51"/>
                <w:sz w:val="14"/>
                <w:szCs w:val="14"/>
              </w:rPr>
              <w:t xml:space="preserve">Monitoring and inspections (Levels I–III)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Read: Monitoring, Audits and Inspections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9">
              <w:r>
                <w:rPr>
                  <w:color w:val="0563C1"/>
                  <w:u w:val="single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CANTRAIN: Monitoring Site Visits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CANTRAIN: Health Canada Inspections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Shadow: Observe a monitoring visit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Supervisor arranges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Observation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5F3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0E51"/>
                <w:sz w:val="14"/>
                <w:szCs w:val="14"/>
              </w:rPr>
              <w:t xml:space="preserve">Investigational products (Levels I–III)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Review: CRC Guide — Investigational Products section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3">
              <w:r>
                <w:rPr>
                  <w:color w:val="0563C1"/>
                  <w:u w:val="single"/>
                </w:rPr>
                <w:t xml:space="preserve">CRC Guide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Shadow: Observe IP receipt and dispensing with research pharmacist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Pharmacy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Observation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CANTRAIN: Introduction to Medical Device Trials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5F3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0E51"/>
                <w:sz w:val="14"/>
                <w:szCs w:val="14"/>
              </w:rPr>
              <w:t xml:space="preserve">Biological specimens (Levels I–III)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Review: CRC Guide — Biological Specimens section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3">
              <w:r>
                <w:rPr>
                  <w:color w:val="0563C1"/>
                  <w:u w:val="single"/>
                </w:rPr>
                <w:t xml:space="preserve">CRC Guide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Shadow: Observe specimen processing and shipping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Lab / Supervisor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Observation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5F3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0E51"/>
                <w:sz w:val="14"/>
                <w:szCs w:val="14"/>
              </w:rPr>
              <w:t xml:space="preserve">Protocol deviations (All levels)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>Read: Reportable Events and Protocol Deviations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8">
              <w:r>
                <w:rPr>
                  <w:color w:val="0563C1"/>
                  <w:u w:val="single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Discuss: Recent deviations on your studies and how they were handled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Supervisor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Discussion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5F3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0E51"/>
                <w:sz w:val="14"/>
                <w:szCs w:val="14"/>
              </w:rPr>
              <w:t xml:space="preserve">Privacy and data protection (All levels)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Read: Privacy and Confidentiality in Quebec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20">
              <w:r>
                <w:rPr>
                  <w:color w:val="0563C1"/>
                  <w:u w:val="single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Read: Research Data Security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21">
              <w:r>
                <w:rPr>
                  <w:color w:val="0563C1"/>
                  <w:u w:val="single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5F3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0E51"/>
                <w:sz w:val="14"/>
                <w:szCs w:val="14"/>
              </w:rPr>
              <w:t xml:space="preserve">Budgets and contracts (All levels)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Read: Contracts, Budgets and Agreements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22">
              <w:r>
                <w:rPr>
                  <w:color w:val="0563C1"/>
                  <w:u w:val="single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CANTRAIN: Contracts and Agreements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I–III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Review: Study budget walkthrough with PI or account monitor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PI / Grants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Discussion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Read: The Investigator Site File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25">
              <w:r>
                <w:rPr>
                  <w:color w:val="0563C1"/>
                  <w:u w:val="single"/>
                  <w:sz w:val="14"/>
                  <w:szCs w:val="14"/>
                  <w:rFonts w:ascii="Arial" w:hAnsi="Arial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Read: Site Activation and Study Setup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26">
              <w:r>
                <w:rPr>
                  <w:color w:val="0563C1"/>
                  <w:u w:val="single"/>
                  <w:sz w:val="14"/>
                  <w:szCs w:val="14"/>
                  <w:rFonts w:ascii="Arial" w:hAnsi="Arial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Read: Preparing Your Submission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27">
              <w:r>
                <w:rPr>
                  <w:color w:val="0563C1"/>
                  <w:u w:val="single"/>
                  <w:sz w:val="14"/>
                  <w:szCs w:val="14"/>
                  <w:rFonts w:ascii="Arial" w:hAnsi="Arial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Review: Nagano submission workflow for your study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4">
              <w:r>
                <w:rPr>
                  <w:color w:val="0563C1"/>
                  <w:u w:val="single"/>
                  <w:sz w:val="14"/>
                  <w:szCs w:val="14"/>
                  <w:rFonts w:ascii="Arial" w:hAnsi="Arial"/>
                </w:rPr>
                <w:t xml:space="preserve">Nagano Guide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Discussion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Read: Study Close-Out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28">
              <w:r>
                <w:rPr>
                  <w:color w:val="0563C1"/>
                  <w:u w:val="single"/>
                  <w:sz w:val="14"/>
                  <w:szCs w:val="14"/>
                  <w:rFonts w:ascii="Arial" w:hAnsi="Arial"/>
                </w:rPr>
                <w:t xml:space="preserve">Knowledge Base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Self-study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9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E8E6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0E51"/>
                <w:sz w:val="16"/>
                <w:szCs w:val="16"/>
              </w:rPr>
              <w:t xml:space="preserve">Phase 5 — Ongoing Professional Development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7A6E"/>
                <w:sz w:val="13"/>
                <w:szCs w:val="13"/>
              </w:rPr>
              <w:t xml:space="preserve">Learning objective: </w:t>
            </w:r>
            <w:r>
              <w:rPr>
                <w:rFonts w:ascii="Arial" w:cs="Arial" w:eastAsia="Arial" w:hAnsi="Arial"/>
                <w:color w:val="474650"/>
                <w:sz w:val="13"/>
                <w:szCs w:val="13"/>
              </w:rPr>
              <w:t xml:space="preserve">The CRC pursues continuous learning, builds advanced competencies, and maintains certifications.</w:t>
            </w:r>
          </w:p>
          <w:p>
            <w:r>
              <w:rPr>
                <w:rFonts w:ascii="Arial" w:cs="Arial" w:eastAsia="Arial" w:hAnsi="Arial"/>
                <w:b/>
                <w:bCs/>
                <w:color w:val="007A6E"/>
                <w:sz w:val="13"/>
                <w:szCs w:val="13"/>
              </w:rPr>
              <w:t xml:space="preserve">Teaching method: </w:t>
            </w:r>
            <w:r>
              <w:rPr>
                <w:rFonts w:ascii="Arial" w:cs="Arial" w:eastAsia="Arial" w:hAnsi="Arial"/>
                <w:color w:val="474650"/>
                <w:sz w:val="13"/>
                <w:szCs w:val="13"/>
              </w:rPr>
              <w:t xml:space="preserve">E-learning (CANTRAIN), practice (Learning Lab), peer learning, certification study</w:t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CANTRAIN: Bootcamp CRP Program (core courses)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CANTRAIN: Quality Essentials for Site Teams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color w:val="0563C1"/>
                  <w:u w:val="single"/>
                </w:rPr>
                <w:t xml:space="preserve">CANTRAIN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E-learning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Learning Lab — practice by topic and study type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r:id="rId23">
              <w:r>
                <w:rPr>
                  <w:color w:val="0563C1"/>
                  <w:u w:val="single"/>
                </w:rPr>
                <w:t xml:space="preserve">Learning Lab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Self-directed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Team exercises — facilitated group practice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hyperlink w:history="1" r:id="rIdsqxss1qiaxphrza9oan4-">
              <w:r>
                <w:rPr>
                  <w:rFonts w:ascii="Arial" w:cs="Arial" w:eastAsia="Arial" w:hAnsi="Arial"/>
                  <w:color w:val="2B9CE2"/>
                  <w:sz w:val="14"/>
                  <w:szCs w:val="14"/>
                  <w:u w:val="single"/>
                </w:rPr>
                <w:t xml:space="preserve">Team Exercises</w:t>
              </w:r>
            </w:hyperlink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Group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4650"/>
                <w:sz w:val="14"/>
                <w:szCs w:val="14"/>
              </w:rPr>
              <w:t xml:space="preserve">Pursue SOCRA (CCRP®) or ACRP (CCRC®) certification</w:t>
            </w:r>
          </w:p>
        </w:tc>
        <w:tc>
          <w:tcPr>
            <w:tcW w:type="dxa" w:w="2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SOCRA / ACRP</w:t>
            </w:r>
          </w:p>
        </w:tc>
        <w:tc>
          <w:tcPr>
            <w:tcW w:type="dxa" w:w="12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Study + exam</w:t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>All</w:t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  <w:tc>
          <w:tcPr>
            <w:tcW w:type="dxa" w:w="1080"/>
            <w:tcBorders>
              <w:top w:val="single" w:color="E0DFE6" w:sz="1"/>
              <w:left w:val="single" w:color="E0DFE6" w:sz="1"/>
              <w:bottom w:val="single" w:color="E0DFE6" w:sz="1"/>
              <w:right w:val="single" w:color="E0DFE6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4650"/>
                <w:sz w:val="14"/>
                <w:szCs w:val="14"/>
              </w:rPr>
              <w:t xml:space="preserve"/>
            </w:r>
          </w:p>
        </w:tc>
      </w:tr>
    </w:tbl>
    <w:p>
      <w:pPr>
        <w:spacing w:before="4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50E51"/>
          <w:sz w:val="20"/>
          <w:szCs w:val="20"/>
        </w:rPr>
        <w:t xml:space="preserve">Signatures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6C5CE"/>
                <w:sz w:val="18"/>
                <w:szCs w:val="18"/>
              </w:rPr>
              <w:t xml:space="preserve">________________________________________</w:t>
            </w:r>
          </w:p>
          <w:p>
            <w:r>
              <w:rPr>
                <w:rFonts w:ascii="Arial" w:cs="Arial" w:eastAsia="Arial" w:hAnsi="Arial"/>
                <w:color w:val="474650"/>
                <w:sz w:val="14"/>
                <w:szCs w:val="14"/>
              </w:rPr>
              <w:t xml:space="preserve">Supervisor / Person responsible for training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6C5CE"/>
                <w:sz w:val="18"/>
                <w:szCs w:val="18"/>
              </w:rPr>
              <w:t xml:space="preserve">________________________________________</w:t>
            </w:r>
          </w:p>
          <w:p>
            <w:r>
              <w:rPr>
                <w:rFonts w:ascii="Arial" w:cs="Arial" w:eastAsia="Arial" w:hAnsi="Arial"/>
                <w:color w:val="474650"/>
                <w:sz w:val="14"/>
                <w:szCs w:val="14"/>
              </w:rPr>
              <w:t xml:space="preserve">Employee / Person trained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4650"/>
        <w:sz w:val="14"/>
        <w:szCs w:val="14"/>
      </w:rPr>
      <w:t xml:space="preserve">CRC Onboarding Plan — SOP-CR (Levels I–III)  |  Page </w:t>
    </w:r>
    <w:r>
      <w:rPr>
        <w:rFonts w:ascii="Arial" w:cs="Arial" w:eastAsia="Arial" w:hAnsi="Arial"/>
        <w:color w:val="47465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74650"/>
        <w:sz w:val="14"/>
        <w:szCs w:val="14"/>
      </w:rPr>
      <w:t xml:space="preserve">RI-MUHC Clinical Research 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50E51"/>
      <w:sz w:val="36"/>
      <w:szCs w:val="3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lwmuxcfjtggu6ylougrb" Type="http://schemas.openxmlformats.org/officeDocument/2006/relationships/hyperlink" Target="https://clinicalresearch.rimuhc.ca/kb-cr101.html" TargetMode="External"/><Relationship Id="rIdv4x33yzld70h3ggqtvxbt" Type="http://schemas.openxmlformats.org/officeDocument/2006/relationships/hyperlink" Target="https://clinicalresearch.rimuhc.ca/kb-cantrain.html" TargetMode="External"/><Relationship Id="rId4ioq-yrhe-nfkrg_v6hyi" Type="http://schemas.openxmlformats.org/officeDocument/2006/relationships/hyperlink" Target="https://clinicalresearch.rimuhc.ca/kb-crc-guide.html#pre-activation" TargetMode="External"/><Relationship Id="rId7fe2r_jizj-dopf6sjgrg" Type="http://schemas.openxmlformats.org/officeDocument/2006/relationships/hyperlink" Target="https://clinicalresearch.rimuhc.ca/nagano-guide.html" TargetMode="External"/><Relationship Id="rIdlgzxgvirynkole1uzkmzr" Type="http://schemas.openxmlformats.org/officeDocument/2006/relationships/hyperlink" Target="https://clinicalresearch.rimuhc.ca/kb-crc-guide.html" TargetMode="External"/><Relationship Id="rIdd4krbuybqdbibm_pho0nb" Type="http://schemas.openxmlformats.org/officeDocument/2006/relationships/hyperlink" Target="https://clinicalresearch.rimuhc.ca/kb-consent-in-quebec.html" TargetMode="External"/><Relationship Id="rIdkm2glbtflrfe89jfrtear" Type="http://schemas.openxmlformats.org/officeDocument/2006/relationships/hyperlink" Target="https://clinicalresearch.rimuhc.ca/kb-cantrain.html" TargetMode="External"/><Relationship Id="rId4p4fjmiutdsdlvgxhvrzg" Type="http://schemas.openxmlformats.org/officeDocument/2006/relationships/hyperlink" Target="https://clinicalresearch.rimuhc.ca/kb-cantrain.html" TargetMode="External"/><Relationship Id="rIdfzcdy0un9wgkxx8kh1eio" Type="http://schemas.openxmlformats.org/officeDocument/2006/relationships/hyperlink" Target="https://clinicalresearch.rimuhc.ca/kb-recruitment-screening-enrollment.html" TargetMode="External"/><Relationship Id="rIdetjzehgft2vhwpklci2yr" Type="http://schemas.openxmlformats.org/officeDocument/2006/relationships/hyperlink" Target="https://clinicalresearch.rimuhc.ca/kb-cantrain.html" TargetMode="External"/><Relationship Id="rIddib6u3ksuifv0gc27vafz" Type="http://schemas.openxmlformats.org/officeDocument/2006/relationships/hyperlink" Target="https://clinicalresearch.rimuhc.ca/kb-data-integrity.html" TargetMode="External"/><Relationship Id="rIdzoo_hxtivggmu7b6vnmrq" Type="http://schemas.openxmlformats.org/officeDocument/2006/relationships/hyperlink" Target="https://clinicalresearch.rimuhc.ca/kb-cantrain.html" TargetMode="External"/><Relationship Id="rIdxt0_yzfdoozhw2n71qdjp" Type="http://schemas.openxmlformats.org/officeDocument/2006/relationships/hyperlink" Target="https://clinicalresearch.rimuhc.ca/kb-reportable-events.html" TargetMode="External"/><Relationship Id="rId5xoakvwjum-31qbdoj9zm" Type="http://schemas.openxmlformats.org/officeDocument/2006/relationships/hyperlink" Target="https://clinicalresearch.rimuhc.ca/kb-cantrain.html" TargetMode="External"/><Relationship Id="rId6lturuoot5igg5neghwuh" Type="http://schemas.openxmlformats.org/officeDocument/2006/relationships/hyperlink" Target="https://clinicalresearch.rimuhc.ca/kb-cantrain.html" TargetMode="External"/><Relationship Id="rIdqokwnbhv5wwpt0jumvpqo" Type="http://schemas.openxmlformats.org/officeDocument/2006/relationships/hyperlink" Target="https://clinicalresearch.rimuhc.ca/kb-monitoring-audits.html" TargetMode="External"/><Relationship Id="rIdibp5-kwxeirh-1ukbmouw" Type="http://schemas.openxmlformats.org/officeDocument/2006/relationships/hyperlink" Target="https://clinicalresearch.rimuhc.ca/kb-cantrain.html" TargetMode="External"/><Relationship Id="rIdnxuyu4ztws7ef_evefexq" Type="http://schemas.openxmlformats.org/officeDocument/2006/relationships/hyperlink" Target="https://clinicalresearch.rimuhc.ca/kb-cantrain.html" TargetMode="External"/><Relationship Id="rIdkowhf-emodvi3d6oycbzm" Type="http://schemas.openxmlformats.org/officeDocument/2006/relationships/hyperlink" Target="https://clinicalresearch.rimuhc.ca/kb-crc-guide.html#d-ip" TargetMode="External"/><Relationship Id="rIdtb5dil9qssi_gtx393f-l" Type="http://schemas.openxmlformats.org/officeDocument/2006/relationships/hyperlink" Target="https://clinicalresearch.rimuhc.ca/kb-cantrain.html" TargetMode="External"/><Relationship Id="rId2-ddaskhyeulwvqxsrwh4" Type="http://schemas.openxmlformats.org/officeDocument/2006/relationships/hyperlink" Target="https://clinicalresearch.rimuhc.ca/kb-crc-guide.html#d-specimens" TargetMode="External"/><Relationship Id="rIdtji8g4i1ycylqdnd33x9x" Type="http://schemas.openxmlformats.org/officeDocument/2006/relationships/hyperlink" Target="https://clinicalresearch.rimuhc.ca/kb-protocol-deviations.html" TargetMode="External"/><Relationship Id="rIdtyhll3mabgfxlqx06puy4" Type="http://schemas.openxmlformats.org/officeDocument/2006/relationships/hyperlink" Target="https://clinicalresearch.rimuhc.ca/kb-privacy-confidentiality.html" TargetMode="External"/><Relationship Id="rIdkairyfo9rphte7v-5dhsa" Type="http://schemas.openxmlformats.org/officeDocument/2006/relationships/hyperlink" Target="https://clinicalresearch.rimuhc.ca/kb-data-security.html" TargetMode="External"/><Relationship Id="rIdgbwvzrhtcwmh9_g_8jkcq" Type="http://schemas.openxmlformats.org/officeDocument/2006/relationships/hyperlink" Target="https://clinicalresearch.rimuhc.ca/kb-contracts-budgets.html" TargetMode="External"/><Relationship Id="rIdk0fsrjczbk9pbzdiz1wls" Type="http://schemas.openxmlformats.org/officeDocument/2006/relationships/hyperlink" Target="https://clinicalresearch.rimuhc.ca/kb-cantrain.html" TargetMode="External"/><Relationship Id="rIdl-ainurqlsti8m1urp9w2" Type="http://schemas.openxmlformats.org/officeDocument/2006/relationships/hyperlink" Target="https://clinicalresearch.rimuhc.ca/kb-cantrain.html" TargetMode="External"/><Relationship Id="rIdw-rxeku5ogjjrzn2ujqdn" Type="http://schemas.openxmlformats.org/officeDocument/2006/relationships/hyperlink" Target="https://clinicalresearch.rimuhc.ca/kb-cantrain.html" TargetMode="External"/><Relationship Id="rIduk3odowh-k8vzkbbvaqcz" Type="http://schemas.openxmlformats.org/officeDocument/2006/relationships/hyperlink" Target="https://clinicalresearch.rimuhc.ca/learning-lab.html" TargetMode="External"/><Relationship Id="rIdsqxss1qiaxphrza9oan4-" Type="http://schemas.openxmlformats.org/officeDocument/2006/relationships/hyperlink" Target="https://clinicalresearch.rimuhc.ca/learning-lab.html" TargetMode="External"/><Relationship Id="rId39" Type="http://schemas.openxmlformats.org/officeDocument/2006/relationships/fontTable" Target="fontTable.xml"/><Relationship Id="rId9" Type="http://schemas.openxmlformats.org/officeDocument/2006/relationships/hyperlink" Target="https://ri-muhc.mintlify.app/kb/clinical-research-101" TargetMode="External"/><Relationship Id="rId10" Type="http://schemas.openxmlformats.org/officeDocument/2006/relationships/hyperlink" Target="https://ri-muhc.mintlify.app/apps/talentlms" TargetMode="External"/><Relationship Id="rId11" Type="http://schemas.openxmlformats.org/officeDocument/2006/relationships/hyperlink" Target="https://ri-muhc.mintlify.app/training/cantrain" TargetMode="External"/><Relationship Id="rId12" Type="http://schemas.openxmlformats.org/officeDocument/2006/relationships/hyperlink" Target="https://ri-muhc.mintlify.app/kb/planning/cord" TargetMode="External"/><Relationship Id="rId13" Type="http://schemas.openxmlformats.org/officeDocument/2006/relationships/hyperlink" Target="https://ri-muhc.mintlify.app/kb/roles/crc-guide" TargetMode="External"/><Relationship Id="rId14" Type="http://schemas.openxmlformats.org/officeDocument/2006/relationships/hyperlink" Target="https://ri-muhc.mintlify.app/apps/nagano/overview" TargetMode="External"/><Relationship Id="rId15" Type="http://schemas.openxmlformats.org/officeDocument/2006/relationships/hyperlink" Target="https://ri-muhc.mintlify.app/kb/conduct/consent" TargetMode="External"/><Relationship Id="rId16" Type="http://schemas.openxmlformats.org/officeDocument/2006/relationships/hyperlink" Target="https://ri-muhc.mintlify.app/kb/conduct/recruitment-enrollment" TargetMode="External"/><Relationship Id="rId17" Type="http://schemas.openxmlformats.org/officeDocument/2006/relationships/hyperlink" Target="https://ri-muhc.mintlify.app/kb/conduct/data-integrity" TargetMode="External"/><Relationship Id="rId18" Type="http://schemas.openxmlformats.org/officeDocument/2006/relationships/hyperlink" Target="https://ri-muhc.mintlify.app/kb/conduct/reportable-events" TargetMode="External"/><Relationship Id="rId19" Type="http://schemas.openxmlformats.org/officeDocument/2006/relationships/hyperlink" Target="https://ri-muhc.mintlify.app/kb/conduct/monitoring-audits" TargetMode="External"/><Relationship Id="rId20" Type="http://schemas.openxmlformats.org/officeDocument/2006/relationships/hyperlink" Target="https://ri-muhc.mintlify.app/kb/conduct/privacy" TargetMode="External"/><Relationship Id="rId21" Type="http://schemas.openxmlformats.org/officeDocument/2006/relationships/hyperlink" Target="https://ri-muhc.mintlify.app/kb/conduct/data-security" TargetMode="External"/><Relationship Id="rId22" Type="http://schemas.openxmlformats.org/officeDocument/2006/relationships/hyperlink" Target="https://ri-muhc.mintlify.app/kb/planning/budgets-contracts" TargetMode="External"/><Relationship Id="rId23" Type="http://schemas.openxmlformats.org/officeDocument/2006/relationships/hyperlink" Target="https://ri-muhc.mintlify.app/training/learning-lab" TargetMode="External"/><Relationship Id="rId24" Type="http://schemas.openxmlformats.org/officeDocument/2006/relationships/hyperlink" Target="https://ri-muhc.mintlify.app/kb/roles/pi-pathway" TargetMode="External"/><Relationship Id="rId25" Type="http://schemas.openxmlformats.org/officeDocument/2006/relationships/hyperlink" Target="https://ri-muhc.mintlify.app/kb/conduct/isf" TargetMode="External"/><Relationship Id="rId26" Type="http://schemas.openxmlformats.org/officeDocument/2006/relationships/hyperlink" Target="https://ri-muhc.mintlify.app/kb/conduct/site-setup" TargetMode="External"/><Relationship Id="rId27" Type="http://schemas.openxmlformats.org/officeDocument/2006/relationships/hyperlink" Target="https://ri-muhc.mintlify.app/kb/submission/preparing" TargetMode="External"/><Relationship Id="rId28" Type="http://schemas.openxmlformats.org/officeDocument/2006/relationships/hyperlink" Target="https://ri-muhc.mintlify.app/kb/conduct/close-out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2026-04-14T17:44:17.591Z</dcterms:created>
  <dcterms:modified xsi:type="dcterms:W3CDTF">2026-04-14T17:44:17.592Z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