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CRC Onboarding Plan</w:t>
      </w:r>
    </w:p>
    <w:p>
      <w:pPr>
        <w:spacing w:after="60"/>
      </w:pPr>
      <w:r>
        <w:rPr>
          <w:rFonts w:ascii="Arial" w:cs="Arial" w:eastAsia="Arial" w:hAnsi="Arial"/>
          <w:b/>
          <w:bCs/>
          <w:color w:val="007A6E"/>
          <w:sz w:val="22"/>
          <w:szCs w:val="22"/>
        </w:rPr>
        <w:t xml:space="preserve">SOP-LR Series — Levels IV–V (Observational and Retrospective Studies)</w:t>
      </w:r>
    </w:p>
    <w:p>
      <w:pPr>
        <w:spacing w:after="200"/>
      </w:pPr>
      <w:r>
        <w:rPr>
          <w:rFonts w:ascii="Arial" w:cs="Arial" w:eastAsia="Arial" w:hAnsi="Arial"/>
          <w:color w:val="474650"/>
          <w:sz w:val="16"/>
          <w:szCs w:val="16"/>
        </w:rPr>
        <w:t xml:space="preserve">A structured training and learning plan for Clinical Research Coordinators at the RI-MUHC working on prospective observational (Level IV) or retrospective (Level V) studies. Organized by dependency. Grey rows are recommended. No external GCP certification is required for these levels. Consent and recruitment items are Level IV only — retrospective studies typically operate under a waiver of consent.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bCs/>
                <w:color w:val="150E51"/>
                <w:sz w:val="16"/>
                <w:szCs w:val="16"/>
              </w:rPr>
              <w:t xml:space="preserve">Employee name</w:t>
            </w:r>
          </w:p>
        </w:tc>
        <w:tc>
          <w:tcPr>
            <w:tcW w:type="dxa" w:w="5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2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bCs/>
                <w:color w:val="150E51"/>
                <w:sz w:val="16"/>
                <w:szCs w:val="16"/>
              </w:rPr>
              <w:t xml:space="preserve">Title and division</w:t>
            </w:r>
          </w:p>
        </w:tc>
        <w:tc>
          <w:tcPr>
            <w:tcW w:type="dxa" w:w="5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2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bCs/>
                <w:color w:val="150E51"/>
                <w:sz w:val="16"/>
                <w:szCs w:val="16"/>
              </w:rPr>
              <w:t xml:space="preserve">Supervisor / PI</w:t>
            </w:r>
          </w:p>
        </w:tc>
        <w:tc>
          <w:tcPr>
            <w:tcW w:type="dxa" w:w="5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2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bCs/>
                <w:color w:val="150E51"/>
                <w:sz w:val="16"/>
                <w:szCs w:val="16"/>
              </w:rPr>
              <w:t xml:space="preserve">Training level</w:t>
            </w:r>
          </w:p>
        </w:tc>
        <w:tc>
          <w:tcPr>
            <w:tcW w:type="dxa" w:w="5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2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bCs/>
                <w:color w:val="150E51"/>
                <w:sz w:val="16"/>
                <w:szCs w:val="16"/>
              </w:rPr>
              <w:t xml:space="preserve">Start date</w:t>
            </w:r>
          </w:p>
        </w:tc>
        <w:tc>
          <w:tcPr>
            <w:tcW w:type="dxa" w:w="5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2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bCs/>
                <w:color w:val="150E51"/>
                <w:sz w:val="16"/>
                <w:szCs w:val="16"/>
              </w:rPr>
              <w:t xml:space="preserve">Training period</w:t>
            </w:r>
          </w:p>
        </w:tc>
        <w:tc>
          <w:tcPr>
            <w:tcW w:type="dxa" w:w="5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bl>
    <w:p>
      <w:pPr>
        <w:spacing w:after="60" w:before="160"/>
      </w:pPr>
      <w:r>
        <w:rPr>
          <w:rFonts w:ascii="Arial" w:cs="Arial" w:eastAsia="Arial" w:hAnsi="Arial"/>
          <w:b/>
          <w:bCs/>
          <w:color w:val="150E51"/>
          <w:sz w:val="15"/>
          <w:szCs w:val="15"/>
        </w:rPr>
        <w:t xml:space="preserve">Loi 90 compliance: </w:t>
      </w:r>
      <w:r>
        <w:rPr>
          <w:rFonts w:ascii="Arial" w:cs="Arial" w:eastAsia="Arial" w:hAnsi="Arial"/>
          <w:color w:val="474650"/>
          <w:sz w:val="15"/>
          <w:szCs w:val="15"/>
        </w:rPr>
        <w:t xml:space="preserve">This plan can be used to complete the institutional On-the-Job Training form. Transfer total training hours to the Loi 90 form and submit to training-formation@muhc.mcgill.ca.</w:t>
      </w:r>
    </w:p>
    <w:p>
      <w:pPr>
        <w:spacing w:after="200"/>
      </w:pPr>
      <w:r>
        <w:rPr>
          <w:rFonts w:ascii="Arial" w:cs="Arial" w:eastAsia="Arial" w:hAnsi="Arial"/>
          <w:b/>
          <w:bCs/>
          <w:color w:val="150E51"/>
          <w:sz w:val="15"/>
          <w:szCs w:val="15"/>
        </w:rPr>
        <w:t xml:space="preserve">SOP Reader: </w:t>
      </w:r>
      <w:r>
        <w:rPr>
          <w:rFonts w:ascii="Arial" w:cs="Arial" w:eastAsia="Arial" w:hAnsi="Arial"/>
          <w:color w:val="474650"/>
          <w:sz w:val="15"/>
          <w:szCs w:val="15"/>
        </w:rPr>
        <w:t xml:space="preserve">All SOPs for the employee’s training level are read through TalentLMS (Phase 2). Individual references in Phase 4 are for ongoing operational reference only. If you are on leave for more than 6 months, training must be renewed before returning to study tasks (SOP-CR-002).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1200"/>
        <w:gridCol w:w="800"/>
        <w:gridCol w:w="1100"/>
        <w:gridCol w:w="1100"/>
        <w:gridCol w:w="800"/>
        <w:gridCol w:w="800"/>
        <w:gridCol w:w="1080"/>
      </w:tblGrid>
      <w:tr>
        <w:trPr>
          <w:tblHeader/>
        </w:trPr>
        <w:tc>
          <w:tcPr>
            <w:tcW w:type="dxa" w:w="46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left"/>
            </w:pPr>
            <w:r>
              <w:rPr>
                <w:rFonts w:ascii="Arial" w:cs="Arial" w:eastAsia="Arial" w:hAnsi="Arial"/>
                <w:b/>
                <w:bCs/>
                <w:color w:val="FFFFFF"/>
                <w:sz w:val="14"/>
                <w:szCs w:val="14"/>
              </w:rPr>
              <w:t xml:space="preserve">Training / Learning Item</w:t>
            </w:r>
          </w:p>
        </w:tc>
        <w:tc>
          <w:tcPr>
            <w:tcW w:type="dxa" w:w="22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left"/>
            </w:pPr>
            <w:r>
              <w:rPr>
                <w:rFonts w:ascii="Arial" w:cs="Arial" w:eastAsia="Arial" w:hAnsi="Arial"/>
                <w:b/>
                <w:bCs/>
                <w:color w:val="FFFFFF"/>
                <w:sz w:val="14"/>
                <w:szCs w:val="14"/>
              </w:rPr>
              <w:t xml:space="preserve">Resource</w:t>
            </w:r>
          </w:p>
        </w:tc>
        <w:tc>
          <w:tcPr>
            <w:tcW w:type="dxa" w:w="12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center"/>
            </w:pPr>
            <w:r>
              <w:rPr>
                <w:rFonts w:ascii="Arial" w:cs="Arial" w:eastAsia="Arial" w:hAnsi="Arial"/>
                <w:b/>
                <w:bCs/>
                <w:color w:val="FFFFFF"/>
                <w:sz w:val="14"/>
                <w:szCs w:val="14"/>
              </w:rPr>
              <w:t xml:space="preserve">Method</w:t>
            </w:r>
          </w:p>
        </w:tc>
        <w:tc>
          <w:tcPr>
            <w:tcW w:type="dxa" w:w="8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center"/>
            </w:pPr>
            <w:r>
              <w:rPr>
                <w:rFonts w:ascii="Arial" w:cs="Arial" w:eastAsia="Arial" w:hAnsi="Arial"/>
                <w:b/>
                <w:bCs/>
                <w:color w:val="FFFFFF"/>
                <w:sz w:val="14"/>
                <w:szCs w:val="14"/>
              </w:rPr>
              <w:t xml:space="preserve">Level</w:t>
            </w:r>
          </w:p>
        </w:tc>
        <w:tc>
          <w:tcPr>
            <w:tcW w:type="dxa" w:w="11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center"/>
            </w:pPr>
            <w:r>
              <w:rPr>
                <w:rFonts w:ascii="Arial" w:cs="Arial" w:eastAsia="Arial" w:hAnsi="Arial"/>
                <w:b/>
                <w:bCs/>
                <w:color w:val="FFFFFF"/>
                <w:sz w:val="14"/>
                <w:szCs w:val="14"/>
              </w:rPr>
              <w:t xml:space="preserve">Target</w:t>
            </w:r>
          </w:p>
        </w:tc>
        <w:tc>
          <w:tcPr>
            <w:tcW w:type="dxa" w:w="11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center"/>
            </w:pPr>
            <w:r>
              <w:rPr>
                <w:rFonts w:ascii="Arial" w:cs="Arial" w:eastAsia="Arial" w:hAnsi="Arial"/>
                <w:b/>
                <w:bCs/>
                <w:color w:val="FFFFFF"/>
                <w:sz w:val="14"/>
                <w:szCs w:val="14"/>
              </w:rPr>
              <w:t xml:space="preserve">Done</w:t>
            </w:r>
          </w:p>
        </w:tc>
        <w:tc>
          <w:tcPr>
            <w:tcW w:type="dxa" w:w="8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center"/>
            </w:pPr>
            <w:r>
              <w:rPr>
                <w:rFonts w:ascii="Arial" w:cs="Arial" w:eastAsia="Arial" w:hAnsi="Arial"/>
                <w:b/>
                <w:bCs/>
                <w:color w:val="FFFFFF"/>
                <w:sz w:val="14"/>
                <w:szCs w:val="14"/>
              </w:rPr>
              <w:t xml:space="preserve">Hours</w:t>
            </w:r>
          </w:p>
        </w:tc>
        <w:tc>
          <w:tcPr>
            <w:tcW w:type="dxa" w:w="80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center"/>
            </w:pPr>
            <w:r>
              <w:rPr>
                <w:rFonts w:ascii="Arial" w:cs="Arial" w:eastAsia="Arial" w:hAnsi="Arial"/>
                <w:b/>
                <w:bCs/>
                <w:color w:val="FFFFFF"/>
                <w:sz w:val="14"/>
                <w:szCs w:val="14"/>
              </w:rPr>
              <w:t xml:space="preserve">Initials</w:t>
            </w:r>
          </w:p>
        </w:tc>
        <w:tc>
          <w:tcPr>
            <w:tcW w:type="dxa" w:w="1080"/>
            <w:tcBorders>
              <w:top w:val="single" w:color="E0DFE6" w:sz="1"/>
              <w:left w:val="single" w:color="E0DFE6" w:sz="1"/>
              <w:bottom w:val="single" w:color="E0DFE6" w:sz="1"/>
              <w:right w:val="single" w:color="E0DFE6" w:sz="1"/>
            </w:tcBorders>
            <w:shd w:fill="150E51" w:val="clear"/>
            <w:tcMar>
              <w:top w:type="dxa" w:w="50"/>
              <w:left w:type="dxa" w:w="80"/>
              <w:bottom w:type="dxa" w:w="50"/>
              <w:right w:type="dxa" w:w="80"/>
            </w:tcMar>
            <w:vAlign w:val="center"/>
          </w:tcPr>
          <w:p>
            <w:pPr>
              <w:jc w:val="left"/>
            </w:pPr>
            <w:r>
              <w:rPr>
                <w:rFonts w:ascii="Arial" w:cs="Arial" w:eastAsia="Arial" w:hAnsi="Arial"/>
                <w:b/>
                <w:bCs/>
                <w:color w:val="FFFFFF"/>
                <w:sz w:val="14"/>
                <w:szCs w:val="14"/>
              </w:rPr>
              <w:t xml:space="preserve">Notes</w:t>
            </w:r>
          </w:p>
        </w:tc>
      </w:tr>
      <w:tr>
        <w:tc>
          <w:tcPr>
            <w:tcW w:type="dxa" w:w="13680"/>
            <w:gridSpan w:val="9"/>
            <w:tcBorders>
              <w:top w:val="single" w:color="E0DFE6" w:sz="1"/>
              <w:left w:val="single" w:color="E0DFE6" w:sz="1"/>
              <w:bottom w:val="single" w:color="E0DFE6" w:sz="1"/>
              <w:right w:val="single" w:color="E0DFE6" w:sz="1"/>
            </w:tcBorders>
            <w:shd w:fill="E8E6F3" w:val="clear"/>
            <w:tcMar>
              <w:top w:type="dxa" w:w="70"/>
              <w:left w:type="dxa" w:w="80"/>
              <w:bottom w:type="dxa" w:w="70"/>
              <w:right w:type="dxa" w:w="80"/>
            </w:tcMar>
          </w:tcPr>
          <w:p>
            <w:pPr>
              <w:spacing w:after="40"/>
            </w:pPr>
            <w:r>
              <w:rPr>
                <w:rFonts w:ascii="Arial" w:cs="Arial" w:eastAsia="Arial" w:hAnsi="Arial"/>
                <w:b/>
                <w:bCs/>
                <w:color w:val="150E51"/>
                <w:sz w:val="16"/>
                <w:szCs w:val="16"/>
              </w:rPr>
              <w:t xml:space="preserve">Phase 1 — Institutional Setup</w:t>
            </w:r>
          </w:p>
          <w:p>
            <w:pPr>
              <w:spacing w:after="20"/>
            </w:pPr>
            <w:r>
              <w:rPr>
                <w:rFonts w:ascii="Arial" w:cs="Arial" w:eastAsia="Arial" w:hAnsi="Arial"/>
                <w:b/>
                <w:bCs/>
                <w:color w:val="007A6E"/>
                <w:sz w:val="13"/>
                <w:szCs w:val="13"/>
              </w:rPr>
              <w:t xml:space="preserve">Learning objective: </w:t>
            </w:r>
            <w:r>
              <w:rPr>
                <w:rFonts w:ascii="Arial" w:cs="Arial" w:eastAsia="Arial" w:hAnsi="Arial"/>
                <w:color w:val="474650"/>
                <w:sz w:val="13"/>
                <w:szCs w:val="13"/>
              </w:rPr>
              <w:t xml:space="preserve">The CRC can navigate the MUHC as an employee: portal access, building access, mandatory institutional training, and familiarity with the research environment.</w:t>
            </w:r>
          </w:p>
          <w:p>
            <w:r>
              <w:rPr>
                <w:rFonts w:ascii="Arial" w:cs="Arial" w:eastAsia="Arial" w:hAnsi="Arial"/>
                <w:b/>
                <w:bCs/>
                <w:color w:val="007A6E"/>
                <w:sz w:val="13"/>
                <w:szCs w:val="13"/>
              </w:rPr>
              <w:t xml:space="preserve">Teaching method: </w:t>
            </w:r>
            <w:r>
              <w:rPr>
                <w:rFonts w:ascii="Arial" w:cs="Arial" w:eastAsia="Arial" w:hAnsi="Arial"/>
                <w:color w:val="474650"/>
                <w:sz w:val="13"/>
                <w:szCs w:val="13"/>
              </w:rPr>
              <w:t xml:space="preserve">Self-directed (online modules), orientation with supervisor, facility tour</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Complete institutional orientation and HR onboarding</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HR / Research Staff Handbook</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Orientation</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Obtain MUHC employee badge and building access</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HR</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In-person</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Set up Logibec timesheet and payroll</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HR</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In-person</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Activate RI-MUHC Portal account</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Portal</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Self-directed</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Complete mandatory institutional training (EDI, cybersecurity, harassment prevention, intimate partner violence, emergency measures)</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Portal</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E-learning</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Obtain OACIS access (if clinical record review required)</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IT / Supervisor</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In-person</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the Research Staff Handbook</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Research Staff Handbook</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Review Clinical Research 101 and Study Lifecycle</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2n_dj5yunqvfauuvmyr7u">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Attend a Community Connect session</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Research Facilitator</w:t>
            </w:r>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In-person</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Shadow an experienced colleague working on a similar study</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Supervisor arranges</w:t>
            </w:r>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Observation</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8E6F3" w:val="clear"/>
            <w:tcMar>
              <w:top w:type="dxa" w:w="70"/>
              <w:left w:type="dxa" w:w="80"/>
              <w:bottom w:type="dxa" w:w="70"/>
              <w:right w:type="dxa" w:w="80"/>
            </w:tcMar>
          </w:tcPr>
          <w:p>
            <w:pPr>
              <w:spacing w:after="40"/>
            </w:pPr>
            <w:r>
              <w:rPr>
                <w:rFonts w:ascii="Arial" w:cs="Arial" w:eastAsia="Arial" w:hAnsi="Arial"/>
                <w:b/>
                <w:bCs/>
                <w:color w:val="150E51"/>
                <w:sz w:val="16"/>
                <w:szCs w:val="16"/>
              </w:rPr>
              <w:t xml:space="preserve">Phase 2 — Clinical Research Training</w:t>
            </w:r>
          </w:p>
          <w:p>
            <w:pPr>
              <w:spacing w:after="20"/>
            </w:pPr>
            <w:r>
              <w:rPr>
                <w:rFonts w:ascii="Arial" w:cs="Arial" w:eastAsia="Arial" w:hAnsi="Arial"/>
                <w:b/>
                <w:bCs/>
                <w:color w:val="007A6E"/>
                <w:sz w:val="13"/>
                <w:szCs w:val="13"/>
              </w:rPr>
              <w:t xml:space="preserve">Learning objective: </w:t>
            </w:r>
            <w:r>
              <w:rPr>
                <w:rFonts w:ascii="Arial" w:cs="Arial" w:eastAsia="Arial" w:hAnsi="Arial"/>
                <w:color w:val="474650"/>
                <w:sz w:val="13"/>
                <w:szCs w:val="13"/>
              </w:rPr>
              <w:t xml:space="preserve">The CRC has completed SOP training for their level and is eligible to be added to a Task Delegation Log. No external GCP certification is required for Levels IV–V.</w:t>
            </w:r>
          </w:p>
          <w:p>
            <w:r>
              <w:rPr>
                <w:rFonts w:ascii="Arial" w:cs="Arial" w:eastAsia="Arial" w:hAnsi="Arial"/>
                <w:b/>
                <w:bCs/>
                <w:color w:val="007A6E"/>
                <w:sz w:val="13"/>
                <w:szCs w:val="13"/>
              </w:rPr>
              <w:t xml:space="preserve">Teaching method: </w:t>
            </w:r>
            <w:r>
              <w:rPr>
                <w:rFonts w:ascii="Arial" w:cs="Arial" w:eastAsia="Arial" w:hAnsi="Arial"/>
                <w:color w:val="474650"/>
                <w:sz w:val="13"/>
                <w:szCs w:val="13"/>
              </w:rPr>
              <w:t xml:space="preserve">E-learning (TalentLMS), self-study, online assessment</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Explore TalentLMS (linked to Portal via single sign-on)</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Portal → TalentLMS</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Self-directed</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Complete the SOP Reader (all SOPs for your training level)</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TalentLMS</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Complete the Competency Assessment</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TalentLMS</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Assessment</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Begin CANTRAIN Common Core Foundation (selected modules)</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rhufnmhp4g7wfwkzkogjz">
              <w:r>
                <w:rPr>
                  <w:rFonts w:ascii="Arial" w:cs="Arial" w:eastAsia="Arial" w:hAnsi="Arial"/>
                  <w:color w:val="2B9CE2"/>
                  <w:sz w:val="14"/>
                  <w:szCs w:val="14"/>
                  <w:u w:val="single"/>
                </w:rPr>
                <w:t xml:space="preserve">CANTRAIN</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E-learning</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8E6F3" w:val="clear"/>
            <w:tcMar>
              <w:top w:type="dxa" w:w="70"/>
              <w:left w:type="dxa" w:w="80"/>
              <w:bottom w:type="dxa" w:w="70"/>
              <w:right w:type="dxa" w:w="80"/>
            </w:tcMar>
          </w:tcPr>
          <w:p>
            <w:pPr>
              <w:spacing w:after="40"/>
            </w:pPr>
            <w:r>
              <w:rPr>
                <w:rFonts w:ascii="Arial" w:cs="Arial" w:eastAsia="Arial" w:hAnsi="Arial"/>
                <w:b/>
                <w:bCs/>
                <w:color w:val="150E51"/>
                <w:sz w:val="16"/>
                <w:szCs w:val="16"/>
              </w:rPr>
              <w:t xml:space="preserve">Phase 3 — Study-Specific Preparation</w:t>
            </w:r>
          </w:p>
          <w:p>
            <w:pPr>
              <w:spacing w:after="20"/>
            </w:pPr>
            <w:r>
              <w:rPr>
                <w:rFonts w:ascii="Arial" w:cs="Arial" w:eastAsia="Arial" w:hAnsi="Arial"/>
                <w:b/>
                <w:bCs/>
                <w:color w:val="007A6E"/>
                <w:sz w:val="13"/>
                <w:szCs w:val="13"/>
              </w:rPr>
              <w:t xml:space="preserve">Learning objective: </w:t>
            </w:r>
            <w:r>
              <w:rPr>
                <w:rFonts w:ascii="Arial" w:cs="Arial" w:eastAsia="Arial" w:hAnsi="Arial"/>
                <w:color w:val="474650"/>
                <w:sz w:val="13"/>
                <w:szCs w:val="13"/>
              </w:rPr>
              <w:t xml:space="preserve">The CRC is listed on the Task Delegation Log, understands the protocol, and is ready for their first study task.</w:t>
            </w:r>
          </w:p>
          <w:p>
            <w:r>
              <w:rPr>
                <w:rFonts w:ascii="Arial" w:cs="Arial" w:eastAsia="Arial" w:hAnsi="Arial"/>
                <w:b/>
                <w:bCs/>
                <w:color w:val="007A6E"/>
                <w:sz w:val="13"/>
                <w:szCs w:val="13"/>
              </w:rPr>
              <w:t xml:space="preserve">Teaching method: </w:t>
            </w:r>
            <w:r>
              <w:rPr>
                <w:rFonts w:ascii="Arial" w:cs="Arial" w:eastAsia="Arial" w:hAnsi="Arial"/>
                <w:color w:val="474650"/>
                <w:sz w:val="13"/>
                <w:szCs w:val="13"/>
              </w:rPr>
              <w:t xml:space="preserve">Protocol review, self-study, supervised setup</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Review the study protocol thoroughly</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PI</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Complete REDCap or other data system training (if applicable)</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CORD / Sponsor</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E-learning</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Confirm delegation log is signed by PI with your tasks listed</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PI</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Supervised</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Confirm training certificates filed (CV, TalentLMS certificate)</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Study file</w:t>
            </w:r>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Documentation</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Review the CRC Guide — Pre-Activation section</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mxsbmr55omfjnd9wuzerf">
              <w:r>
                <w:rPr>
                  <w:rFonts w:ascii="Arial" w:cs="Arial" w:eastAsia="Arial" w:hAnsi="Arial"/>
                  <w:color w:val="2B9CE2"/>
                  <w:sz w:val="14"/>
                  <w:szCs w:val="14"/>
                  <w:u w:val="single"/>
                </w:rPr>
                <w:t xml:space="preserve">CRC Guide</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8E6F3" w:val="clear"/>
            <w:tcMar>
              <w:top w:type="dxa" w:w="70"/>
              <w:left w:type="dxa" w:w="80"/>
              <w:bottom w:type="dxa" w:w="70"/>
              <w:right w:type="dxa" w:w="80"/>
            </w:tcMar>
          </w:tcPr>
          <w:p>
            <w:pPr>
              <w:spacing w:after="40"/>
            </w:pPr>
            <w:r>
              <w:rPr>
                <w:rFonts w:ascii="Arial" w:cs="Arial" w:eastAsia="Arial" w:hAnsi="Arial"/>
                <w:b/>
                <w:bCs/>
                <w:color w:val="150E51"/>
                <w:sz w:val="16"/>
                <w:szCs w:val="16"/>
              </w:rPr>
              <w:t xml:space="preserve">Phase 4 — Domain Knowledge Building</w:t>
            </w:r>
          </w:p>
          <w:p>
            <w:pPr>
              <w:spacing w:after="20"/>
            </w:pPr>
            <w:r>
              <w:rPr>
                <w:rFonts w:ascii="Arial" w:cs="Arial" w:eastAsia="Arial" w:hAnsi="Arial"/>
                <w:b/>
                <w:bCs/>
                <w:color w:val="007A6E"/>
                <w:sz w:val="13"/>
                <w:szCs w:val="13"/>
              </w:rPr>
              <w:t xml:space="preserve">Learning objective: </w:t>
            </w:r>
            <w:r>
              <w:rPr>
                <w:rFonts w:ascii="Arial" w:cs="Arial" w:eastAsia="Arial" w:hAnsi="Arial"/>
                <w:color w:val="474650"/>
                <w:sz w:val="13"/>
                <w:szCs w:val="13"/>
              </w:rPr>
              <w:t xml:space="preserve">The CRC has working knowledge of each competency domain relevant to their study type.</w:t>
            </w:r>
          </w:p>
          <w:p>
            <w:r>
              <w:rPr>
                <w:rFonts w:ascii="Arial" w:cs="Arial" w:eastAsia="Arial" w:hAnsi="Arial"/>
                <w:b/>
                <w:bCs/>
                <w:color w:val="007A6E"/>
                <w:sz w:val="13"/>
                <w:szCs w:val="13"/>
              </w:rPr>
              <w:t xml:space="preserve">Teaching method: </w:t>
            </w:r>
            <w:r>
              <w:rPr>
                <w:rFonts w:ascii="Arial" w:cs="Arial" w:eastAsia="Arial" w:hAnsi="Arial"/>
                <w:color w:val="474650"/>
                <w:sz w:val="13"/>
                <w:szCs w:val="13"/>
              </w:rPr>
              <w:t xml:space="preserve">Self-study (KB articles), CANTRAIN courses, discussion with supervisor</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the CRC Guide for your study type</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zelh78rmo_din_6-f_zi8">
              <w:r>
                <w:rPr>
                  <w:rFonts w:ascii="Arial" w:cs="Arial" w:eastAsia="Arial" w:hAnsi="Arial"/>
                  <w:color w:val="2B9CE2"/>
                  <w:sz w:val="14"/>
                  <w:szCs w:val="14"/>
                  <w:u w:val="single"/>
                </w:rPr>
                <w:t xml:space="preserve">CRC Guide (IV)</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the CRC Guide for your study type</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qpwkphc7ygylhm3ofnrby">
              <w:r>
                <w:rPr>
                  <w:rFonts w:ascii="Arial" w:cs="Arial" w:eastAsia="Arial" w:hAnsi="Arial"/>
                  <w:color w:val="2B9CE2"/>
                  <w:sz w:val="14"/>
                  <w:szCs w:val="14"/>
                  <w:u w:val="single"/>
                </w:rPr>
                <w:t xml:space="preserve">CRC Guide (V)</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V</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5F3FB" w:val="clear"/>
            <w:tcMar>
              <w:top w:type="dxa" w:w="40"/>
              <w:left w:type="dxa" w:w="80"/>
              <w:bottom w:type="dxa" w:w="40"/>
              <w:right w:type="dxa" w:w="80"/>
            </w:tcMar>
          </w:tcPr>
          <w:p>
            <w:r>
              <w:rPr>
                <w:rFonts w:ascii="Arial" w:cs="Arial" w:eastAsia="Arial" w:hAnsi="Arial"/>
                <w:b/>
                <w:bCs/>
                <w:color w:val="150E51"/>
                <w:sz w:val="14"/>
                <w:szCs w:val="14"/>
              </w:rPr>
              <w:t xml:space="preserve">Informed consent (Level IV only — not applicable to retrospective studies)</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Consent in Quebec</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nfwdoh6ybh-rfeej2rklp">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CANTRAIN: Informed Consent Process</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l6w4zeov5dlsq3ujpsyng">
              <w:r>
                <w:rPr>
                  <w:rFonts w:ascii="Arial" w:cs="Arial" w:eastAsia="Arial" w:hAnsi="Arial"/>
                  <w:color w:val="2B9CE2"/>
                  <w:sz w:val="14"/>
                  <w:szCs w:val="14"/>
                  <w:u w:val="single"/>
                </w:rPr>
                <w:t xml:space="preserve">CANTRAIN</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E-learning</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Shadow: Observe a consent session</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Supervisor arranges</w:t>
            </w:r>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Observation</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5F3FB" w:val="clear"/>
            <w:tcMar>
              <w:top w:type="dxa" w:w="40"/>
              <w:left w:type="dxa" w:w="80"/>
              <w:bottom w:type="dxa" w:w="40"/>
              <w:right w:type="dxa" w:w="80"/>
            </w:tcMar>
          </w:tcPr>
          <w:p>
            <w:r>
              <w:rPr>
                <w:rFonts w:ascii="Arial" w:cs="Arial" w:eastAsia="Arial" w:hAnsi="Arial"/>
                <w:b/>
                <w:bCs/>
                <w:color w:val="150E51"/>
                <w:sz w:val="14"/>
                <w:szCs w:val="14"/>
              </w:rPr>
              <w:t xml:space="preserve">Recruitment and screening (Level IV only)</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Recruitment, Screening and Enrollment</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isqbiq7sny25zl3d9a_u0">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CANTRAIN: Participant Recruitment and its Challenges</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k6wsvex4r3erizebwhysz">
              <w:r>
                <w:rPr>
                  <w:rFonts w:ascii="Arial" w:cs="Arial" w:eastAsia="Arial" w:hAnsi="Arial"/>
                  <w:color w:val="2B9CE2"/>
                  <w:sz w:val="14"/>
                  <w:szCs w:val="14"/>
                  <w:u w:val="single"/>
                </w:rPr>
                <w:t xml:space="preserve">CANTRAIN</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E-learning</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IV</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5F3FB" w:val="clear"/>
            <w:tcMar>
              <w:top w:type="dxa" w:w="40"/>
              <w:left w:type="dxa" w:w="80"/>
              <w:bottom w:type="dxa" w:w="40"/>
              <w:right w:type="dxa" w:w="80"/>
            </w:tcMar>
          </w:tcPr>
          <w:p>
            <w:r>
              <w:rPr>
                <w:rFonts w:ascii="Arial" w:cs="Arial" w:eastAsia="Arial" w:hAnsi="Arial"/>
                <w:b/>
                <w:bCs/>
                <w:color w:val="150E51"/>
                <w:sz w:val="14"/>
                <w:szCs w:val="14"/>
              </w:rPr>
              <w:t xml:space="preserve">Data collection and integrity (All levels)</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Data Integrity</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_kxabq7gbtmdudhliguob">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CANTRAIN: Data Collection and Management</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q7_axjhndb75_d4y9i3nw">
              <w:r>
                <w:rPr>
                  <w:rFonts w:ascii="Arial" w:cs="Arial" w:eastAsia="Arial" w:hAnsi="Arial"/>
                  <w:color w:val="2B9CE2"/>
                  <w:sz w:val="14"/>
                  <w:szCs w:val="14"/>
                  <w:u w:val="single"/>
                </w:rPr>
                <w:t xml:space="preserve">CANTRAIN</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E-learning</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5F3FB" w:val="clear"/>
            <w:tcMar>
              <w:top w:type="dxa" w:w="40"/>
              <w:left w:type="dxa" w:w="80"/>
              <w:bottom w:type="dxa" w:w="40"/>
              <w:right w:type="dxa" w:w="80"/>
            </w:tcMar>
          </w:tcPr>
          <w:p>
            <w:r>
              <w:rPr>
                <w:rFonts w:ascii="Arial" w:cs="Arial" w:eastAsia="Arial" w:hAnsi="Arial"/>
                <w:b/>
                <w:bCs/>
                <w:color w:val="150E51"/>
                <w:sz w:val="14"/>
                <w:szCs w:val="14"/>
              </w:rPr>
              <w:t xml:space="preserve">Protocol deviations (All levels)</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Protocol Deviations</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u3csgzdvnr4_mbva6fxw_">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Discuss: How deviations are identified and reported on your studies</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Supervisor</w:t>
            </w:r>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Discussion</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5F3FB" w:val="clear"/>
            <w:tcMar>
              <w:top w:type="dxa" w:w="40"/>
              <w:left w:type="dxa" w:w="80"/>
              <w:bottom w:type="dxa" w:w="40"/>
              <w:right w:type="dxa" w:w="80"/>
            </w:tcMar>
          </w:tcPr>
          <w:p>
            <w:r>
              <w:rPr>
                <w:rFonts w:ascii="Arial" w:cs="Arial" w:eastAsia="Arial" w:hAnsi="Arial"/>
                <w:b/>
                <w:bCs/>
                <w:color w:val="150E51"/>
                <w:sz w:val="14"/>
                <w:szCs w:val="14"/>
              </w:rPr>
              <w:t xml:space="preserve">Privacy and data protection (All levels)</w:t>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Privacy and Confidentiality in Quebec</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mhny30u4ccepnf_vflycb">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Read: Research Data Security</w:t>
            </w:r>
          </w:p>
        </w:tc>
        <w:tc>
          <w:tcPr>
            <w:tcW w:type="dxa" w:w="2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hyperlink w:history="1" r:id="rIdtqi_uqqgpvsd8q5_sa1mh">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5F3FB" w:val="clear"/>
            <w:tcMar>
              <w:top w:type="dxa" w:w="40"/>
              <w:left w:type="dxa" w:w="80"/>
              <w:bottom w:type="dxa" w:w="40"/>
              <w:right w:type="dxa" w:w="80"/>
            </w:tcMar>
          </w:tcPr>
          <w:p>
            <w:r>
              <w:rPr>
                <w:rFonts w:ascii="Arial" w:cs="Arial" w:eastAsia="Arial" w:hAnsi="Arial"/>
                <w:b/>
                <w:bCs/>
                <w:color w:val="150E51"/>
                <w:sz w:val="14"/>
                <w:szCs w:val="14"/>
              </w:rPr>
              <w:t xml:space="preserve">Budgets and contracts (All levels)</w:t>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Read: Contracts, Budgets and Agreements</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jbl_cky6cufbcr-cfhety">
              <w:r>
                <w:rPr>
                  <w:rFonts w:ascii="Arial" w:cs="Arial" w:eastAsia="Arial" w:hAnsi="Arial"/>
                  <w:color w:val="2B9CE2"/>
                  <w:sz w:val="14"/>
                  <w:szCs w:val="14"/>
                  <w:u w:val="single"/>
                </w:rPr>
                <w:t xml:space="preserve">Knowledge Hub</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Self-study</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Review: Study budget walkthrough with PI</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PI / Grants</w:t>
            </w:r>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Discussion</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13680"/>
            <w:gridSpan w:val="9"/>
            <w:tcBorders>
              <w:top w:val="single" w:color="E0DFE6" w:sz="1"/>
              <w:left w:val="single" w:color="E0DFE6" w:sz="1"/>
              <w:bottom w:val="single" w:color="E0DFE6" w:sz="1"/>
              <w:right w:val="single" w:color="E0DFE6" w:sz="1"/>
            </w:tcBorders>
            <w:shd w:fill="E8E6F3" w:val="clear"/>
            <w:tcMar>
              <w:top w:type="dxa" w:w="70"/>
              <w:left w:type="dxa" w:w="80"/>
              <w:bottom w:type="dxa" w:w="70"/>
              <w:right w:type="dxa" w:w="80"/>
            </w:tcMar>
          </w:tcPr>
          <w:p>
            <w:pPr>
              <w:spacing w:after="40"/>
            </w:pPr>
            <w:r>
              <w:rPr>
                <w:rFonts w:ascii="Arial" w:cs="Arial" w:eastAsia="Arial" w:hAnsi="Arial"/>
                <w:b/>
                <w:bCs/>
                <w:color w:val="150E51"/>
                <w:sz w:val="16"/>
                <w:szCs w:val="16"/>
              </w:rPr>
              <w:t xml:space="preserve">Phase 5 — Ongoing Professional Development</w:t>
            </w:r>
          </w:p>
          <w:p>
            <w:pPr>
              <w:spacing w:after="20"/>
            </w:pPr>
            <w:r>
              <w:rPr>
                <w:rFonts w:ascii="Arial" w:cs="Arial" w:eastAsia="Arial" w:hAnsi="Arial"/>
                <w:b/>
                <w:bCs/>
                <w:color w:val="007A6E"/>
                <w:sz w:val="13"/>
                <w:szCs w:val="13"/>
              </w:rPr>
              <w:t xml:space="preserve">Learning objective: </w:t>
            </w:r>
            <w:r>
              <w:rPr>
                <w:rFonts w:ascii="Arial" w:cs="Arial" w:eastAsia="Arial" w:hAnsi="Arial"/>
                <w:color w:val="474650"/>
                <w:sz w:val="13"/>
                <w:szCs w:val="13"/>
              </w:rPr>
              <w:t xml:space="preserve">The CRC pursues continuous learning and maintains certifications.</w:t>
            </w:r>
          </w:p>
          <w:p>
            <w:r>
              <w:rPr>
                <w:rFonts w:ascii="Arial" w:cs="Arial" w:eastAsia="Arial" w:hAnsi="Arial"/>
                <w:b/>
                <w:bCs/>
                <w:color w:val="007A6E"/>
                <w:sz w:val="13"/>
                <w:szCs w:val="13"/>
              </w:rPr>
              <w:t xml:space="preserve">Teaching method: </w:t>
            </w:r>
            <w:r>
              <w:rPr>
                <w:rFonts w:ascii="Arial" w:cs="Arial" w:eastAsia="Arial" w:hAnsi="Arial"/>
                <w:color w:val="474650"/>
                <w:sz w:val="13"/>
                <w:szCs w:val="13"/>
              </w:rPr>
              <w:t xml:space="preserve">E-learning (CANTRAIN), practice (Learning Lab), peer learning</w:t>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Learning Lab — practice by topic</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hyperlink w:history="1" r:id="rIdw7cb_mduwmo85d8jcuisl">
              <w:r>
                <w:rPr>
                  <w:rFonts w:ascii="Arial" w:cs="Arial" w:eastAsia="Arial" w:hAnsi="Arial"/>
                  <w:color w:val="2B9CE2"/>
                  <w:sz w:val="14"/>
                  <w:szCs w:val="14"/>
                  <w:u w:val="single"/>
                </w:rPr>
                <w:t xml:space="preserve">Learning Lab</w:t>
              </w:r>
            </w:hyperlink>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Self-directed</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r>
        <w:tc>
          <w:tcPr>
            <w:tcW w:type="dxa" w:w="46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iCs/>
                <w:color w:val="474650"/>
                <w:sz w:val="14"/>
                <w:szCs w:val="14"/>
              </w:rPr>
              <w:t xml:space="preserve">Pursue SOCRA (CCRP®) or ACRP (CCRC®) certification</w:t>
            </w:r>
          </w:p>
        </w:tc>
        <w:tc>
          <w:tcPr>
            <w:tcW w:type="dxa" w:w="2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SOCRA / ACRP</w:t>
            </w:r>
          </w:p>
        </w:tc>
        <w:tc>
          <w:tcPr>
            <w:tcW w:type="dxa" w:w="12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Study + exam</w:t>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All</w:t>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11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80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center"/>
            </w:pPr>
            <w:r>
              <w:rPr>
                <w:rFonts w:ascii="Arial" w:cs="Arial" w:eastAsia="Arial" w:hAnsi="Arial"/>
                <w:b w:val="false"/>
                <w:bCs w:val="false"/>
                <w:i w:val="false"/>
                <w:iCs w:val="false"/>
                <w:color w:val="474650"/>
                <w:sz w:val="14"/>
                <w:szCs w:val="14"/>
              </w:rPr>
              <w:t xml:space="preserve"/>
            </w:r>
          </w:p>
        </w:tc>
        <w:tc>
          <w:tcPr>
            <w:tcW w:type="dxa" w:w="1080"/>
            <w:tcBorders>
              <w:top w:val="single" w:color="E0DFE6" w:sz="1"/>
              <w:left w:val="single" w:color="E0DFE6" w:sz="1"/>
              <w:bottom w:val="single" w:color="E0DFE6" w:sz="1"/>
              <w:right w:val="single" w:color="E0DFE6" w:sz="1"/>
            </w:tcBorders>
            <w:shd w:fill="F8F8F8" w:val="clear"/>
            <w:tcMar>
              <w:top w:type="dxa" w:w="50"/>
              <w:left w:type="dxa" w:w="80"/>
              <w:bottom w:type="dxa" w:w="50"/>
              <w:right w:type="dxa" w:w="80"/>
            </w:tcMar>
            <w:vAlign w:val="top"/>
          </w:tcPr>
          <w:p>
            <w:pPr>
              <w:spacing w:after="0"/>
              <w:jc w:val="left"/>
            </w:pPr>
            <w:r>
              <w:rPr>
                <w:rFonts w:ascii="Arial" w:cs="Arial" w:eastAsia="Arial" w:hAnsi="Arial"/>
                <w:b w:val="false"/>
                <w:bCs w:val="false"/>
                <w:i w:val="false"/>
                <w:iCs w:val="false"/>
                <w:color w:val="474650"/>
                <w:sz w:val="14"/>
                <w:szCs w:val="14"/>
              </w:rPr>
              <w:t xml:space="preserve"/>
            </w:r>
          </w:p>
        </w:tc>
      </w:tr>
    </w:tbl>
    <w:p>
      <w:pPr>
        <w:spacing w:before="400"/>
      </w:pPr>
    </w:p>
    <w:p>
      <w:pPr>
        <w:spacing w:after="40"/>
      </w:pPr>
      <w:r>
        <w:rPr>
          <w:rFonts w:ascii="Arial" w:cs="Arial" w:eastAsia="Arial" w:hAnsi="Arial"/>
          <w:b/>
          <w:bCs/>
          <w:color w:val="150E51"/>
          <w:sz w:val="20"/>
          <w:szCs w:val="20"/>
        </w:rPr>
        <w:t xml:space="preserve">Signatures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none" w:color="FFFFFF" w:sz="0"/>
              <w:left w:val="none" w:color="FFFFFF" w:sz="0"/>
              <w:bottom w:val="none" w:color="FFFFFF" w:sz="0"/>
              <w:right w:val="none" w:color="FFFFFF" w:sz="0"/>
            </w:tcBorders>
          </w:tcPr>
          <w:p>
            <w:pPr>
              <w:spacing w:after="0"/>
            </w:pPr>
          </w:p>
          <w:p>
            <w:pPr>
              <w:spacing w:after="0"/>
            </w:pPr>
            <w:r>
              <w:rPr>
                <w:rFonts w:ascii="Arial" w:cs="Arial" w:eastAsia="Arial" w:hAnsi="Arial"/>
                <w:color w:val="C6C5CE"/>
                <w:sz w:val="18"/>
                <w:szCs w:val="18"/>
              </w:rPr>
              <w:t xml:space="preserve">________________________________________</w:t>
            </w:r>
          </w:p>
          <w:p>
            <w:r>
              <w:rPr>
                <w:rFonts w:ascii="Arial" w:cs="Arial" w:eastAsia="Arial" w:hAnsi="Arial"/>
                <w:color w:val="474650"/>
                <w:sz w:val="14"/>
                <w:szCs w:val="14"/>
              </w:rPr>
              <w:t xml:space="preserve">Supervisor / Person responsible for training</w:t>
            </w:r>
          </w:p>
        </w:tc>
        <w:tc>
          <w:tcPr>
            <w:tcW w:type="dxa" w:w="5000"/>
            <w:tcBorders>
              <w:top w:val="none" w:color="FFFFFF" w:sz="0"/>
              <w:left w:val="none" w:color="FFFFFF" w:sz="0"/>
              <w:bottom w:val="none" w:color="FFFFFF" w:sz="0"/>
              <w:right w:val="none" w:color="FFFFFF" w:sz="0"/>
            </w:tcBorders>
          </w:tcPr>
          <w:p>
            <w:pPr>
              <w:spacing w:after="0"/>
            </w:pPr>
          </w:p>
          <w:p>
            <w:pPr>
              <w:spacing w:after="0"/>
            </w:pPr>
            <w:r>
              <w:rPr>
                <w:rFonts w:ascii="Arial" w:cs="Arial" w:eastAsia="Arial" w:hAnsi="Arial"/>
                <w:color w:val="C6C5CE"/>
                <w:sz w:val="18"/>
                <w:szCs w:val="18"/>
              </w:rPr>
              <w:t xml:space="preserve">________________________________________</w:t>
            </w:r>
          </w:p>
          <w:p>
            <w:r>
              <w:rPr>
                <w:rFonts w:ascii="Arial" w:cs="Arial" w:eastAsia="Arial" w:hAnsi="Arial"/>
                <w:color w:val="474650"/>
                <w:sz w:val="14"/>
                <w:szCs w:val="14"/>
              </w:rPr>
              <w:t xml:space="preserve">Employee / Person trained</w:t>
            </w:r>
          </w:p>
        </w:tc>
      </w:tr>
    </w:tbl>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4650"/>
        <w:sz w:val="14"/>
        <w:szCs w:val="14"/>
      </w:rPr>
      <w:t xml:space="preserve">CRC Onboarding Plan — SOP-LR (Levels IV–V)  |  Page </w:t>
    </w:r>
    <w:r>
      <w:rPr>
        <w:rFonts w:ascii="Arial" w:cs="Arial" w:eastAsia="Arial" w:hAnsi="Arial"/>
        <w:color w:val="47465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4650"/>
        <w:sz w:val="14"/>
        <w:szCs w:val="14"/>
      </w:rPr>
      <w:t xml:space="preserve">RI-MUHC Clinical Research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50E5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n_dj5yunqvfauuvmyr7u" Type="http://schemas.openxmlformats.org/officeDocument/2006/relationships/hyperlink" Target="https://clinicalresearch.rimuhc.ca/kb-cr101.html" TargetMode="External"/><Relationship Id="rIdrhufnmhp4g7wfwkzkogjz" Type="http://schemas.openxmlformats.org/officeDocument/2006/relationships/hyperlink" Target="https://clinicalresearch.rimuhc.ca/kb-cantrain.html" TargetMode="External"/><Relationship Id="rIdmxsbmr55omfjnd9wuzerf" Type="http://schemas.openxmlformats.org/officeDocument/2006/relationships/hyperlink" Target="https://clinicalresearch.rimuhc.ca/kb-crc-guide.html#pre-activation" TargetMode="External"/><Relationship Id="rIdzelh78rmo_din_6-f_zi8" Type="http://schemas.openxmlformats.org/officeDocument/2006/relationships/hyperlink" Target="https://clinicalresearch.rimuhc.ca/kb-crc-guide-iv.html" TargetMode="External"/><Relationship Id="rIdqpwkphc7ygylhm3ofnrby" Type="http://schemas.openxmlformats.org/officeDocument/2006/relationships/hyperlink" Target="https://clinicalresearch.rimuhc.ca/kb-crc-guide-v.html" TargetMode="External"/><Relationship Id="rIdnfwdoh6ybh-rfeej2rklp" Type="http://schemas.openxmlformats.org/officeDocument/2006/relationships/hyperlink" Target="https://clinicalresearch.rimuhc.ca/kb-consent-in-quebec.html" TargetMode="External"/><Relationship Id="rIdl6w4zeov5dlsq3ujpsyng" Type="http://schemas.openxmlformats.org/officeDocument/2006/relationships/hyperlink" Target="https://clinicalresearch.rimuhc.ca/kb-cantrain.html" TargetMode="External"/><Relationship Id="rIdisqbiq7sny25zl3d9a_u0" Type="http://schemas.openxmlformats.org/officeDocument/2006/relationships/hyperlink" Target="https://clinicalresearch.rimuhc.ca/kb-recruitment-screening-enrollment.html" TargetMode="External"/><Relationship Id="rIdk6wsvex4r3erizebwhysz" Type="http://schemas.openxmlformats.org/officeDocument/2006/relationships/hyperlink" Target="https://clinicalresearch.rimuhc.ca/kb-cantrain.html" TargetMode="External"/><Relationship Id="rId_kxabq7gbtmdudhliguob" Type="http://schemas.openxmlformats.org/officeDocument/2006/relationships/hyperlink" Target="https://clinicalresearch.rimuhc.ca/kb-data-integrity.html" TargetMode="External"/><Relationship Id="rIdq7_axjhndb75_d4y9i3nw" Type="http://schemas.openxmlformats.org/officeDocument/2006/relationships/hyperlink" Target="https://clinicalresearch.rimuhc.ca/kb-cantrain.html" TargetMode="External"/><Relationship Id="rIdu3csgzdvnr4_mbva6fxw_" Type="http://schemas.openxmlformats.org/officeDocument/2006/relationships/hyperlink" Target="https://clinicalresearch.rimuhc.ca/kb-protocol-deviations.html" TargetMode="External"/><Relationship Id="rIdmhny30u4ccepnf_vflycb" Type="http://schemas.openxmlformats.org/officeDocument/2006/relationships/hyperlink" Target="https://clinicalresearch.rimuhc.ca/kb-privacy-confidentiality.html" TargetMode="External"/><Relationship Id="rIdtqi_uqqgpvsd8q5_sa1mh" Type="http://schemas.openxmlformats.org/officeDocument/2006/relationships/hyperlink" Target="https://clinicalresearch.rimuhc.ca/kb-data-security.html" TargetMode="External"/><Relationship Id="rIdjbl_cky6cufbcr-cfhety" Type="http://schemas.openxmlformats.org/officeDocument/2006/relationships/hyperlink" Target="https://clinicalresearch.rimuhc.ca/kb-contracts-budgets.html" TargetMode="External"/><Relationship Id="rIdw7cb_mduwmo85d8jcuisl" Type="http://schemas.openxmlformats.org/officeDocument/2006/relationships/hyperlink" Target="https://clinicalresearch.rimuhc.ca/learning-lab.html"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2026-04-14T17:44:18.229Z</dcterms:created>
  <dcterms:modified xsi:type="dcterms:W3CDTF">2026-04-14T17:44:18.230Z</dcterms:modified>
</cp:coreProperties>
</file>

<file path=docProps/custom.xml><?xml version="1.0" encoding="utf-8"?>
<Properties xmlns="http://schemas.openxmlformats.org/officeDocument/2006/custom-properties" xmlns:vt="http://schemas.openxmlformats.org/officeDocument/2006/docPropsVTypes"/>
</file>