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Provisional Patent Draft: Synthetic Logic-Gated mRNA Expression System</w:t>
      </w:r>
    </w:p>
    <w:p/>
    <w:p>
      <w:pPr>
        <w:pStyle w:val="Heading1"/>
      </w:pPr>
      <w:r>
        <w:t>Title:</w:t>
      </w:r>
    </w:p>
    <w:p>
      <w:r>
        <w:t>Synthetic mRNA Expression System for Tumor-Specific Logic-Gated Gene Activation</w:t>
      </w:r>
    </w:p>
    <w:p/>
    <w:p>
      <w:pPr>
        <w:pStyle w:val="Heading1"/>
      </w:pPr>
      <w:r>
        <w:t>Applicant:</w:t>
      </w:r>
    </w:p>
    <w:p>
      <w:r>
        <w:t>Matthew Fornear</w:t>
      </w:r>
    </w:p>
    <w:p/>
    <w:p>
      <w:pPr>
        <w:pStyle w:val="Heading1"/>
      </w:pPr>
      <w:r>
        <w:t>Inventor:</w:t>
      </w:r>
    </w:p>
    <w:p>
      <w:r>
        <w:t>Matthew Fornear</w:t>
      </w:r>
    </w:p>
    <w:p/>
    <w:p>
      <w:pPr>
        <w:pStyle w:val="Heading1"/>
      </w:pPr>
      <w:r>
        <w:t>Field of Invention:</w:t>
      </w:r>
    </w:p>
    <w:p>
      <w:r>
        <w:t>This invention relates to synthetic biology, molecular therapeutics, and genetic engineering. More specifically, it concerns the design and function of a synthetic mRNA expression system that activates transcription and translation only under tumor-specific intracellular conditions.</w:t>
      </w:r>
    </w:p>
    <w:p/>
    <w:p>
      <w:pPr>
        <w:pStyle w:val="Heading1"/>
      </w:pPr>
      <w:r>
        <w:t>Background:</w:t>
      </w:r>
    </w:p>
    <w:p>
      <w:r>
        <w:t>Modern cancer treatments struggle to distinguish between tumor and healthy cells. Single-marker therapies often fail due to expression overlap between malignant and normal tissues. A more robust approach is to require multiple tumor-specific signals to be present before a therapeutic payload is expressed. This invention achieves that via a logic-gated synthetic mRNA circuit.</w:t>
      </w:r>
    </w:p>
    <w:p/>
    <w:p>
      <w:pPr>
        <w:pStyle w:val="Heading1"/>
      </w:pPr>
      <w:r>
        <w:t>Summary of the Invention:</w:t>
      </w:r>
    </w:p>
    <w:p>
      <w:r>
        <w:t>The invention provides a modular genetic construct that integrates three cancer-associated intracellular conditions as logical inputs:</w:t>
      </w:r>
    </w:p>
    <w:p/>
    <w:p>
      <w:pPr>
        <w:pStyle w:val="ListNumber"/>
      </w:pPr>
      <w:r>
        <w:t>1. **Elevated MYC activity** (sensed by a synthetic MYC-responsive promoter)</w:t>
      </w:r>
    </w:p>
    <w:p>
      <w:pPr>
        <w:pStyle w:val="ListNumber"/>
      </w:pPr>
      <w:r>
        <w:t>2. **Elevated reactive oxygen species (ROS)** (sensed by a riboswitch embedded in the 5' UTR)</w:t>
      </w:r>
    </w:p>
    <w:p>
      <w:r>
        <w:t>3. **Suppressed let-7 microRNA levels** (sensed by four tandem let-7 response elements in the 3' UTR)</w:t>
      </w:r>
    </w:p>
    <w:p/>
    <w:p>
      <w:r>
        <w:t>Only when all three conditions are met will the mRNA survive and be translated, producing the intended protein payload.</w:t>
      </w:r>
    </w:p>
    <w:p/>
    <w:p>
      <w:pPr>
        <w:pStyle w:val="Heading1"/>
      </w:pPr>
      <w:r>
        <w:t>Detailed Description:</w:t>
      </w:r>
    </w:p>
    <w:p/>
    <w:p>
      <w:pPr>
        <w:pStyle w:val="ListBullet"/>
      </w:pPr>
      <w:r>
        <w:t>- **Promoter:**</w:t>
      </w:r>
    </w:p>
    <w:p>
      <w:pPr>
        <w:pStyle w:val="ListBullet"/>
      </w:pPr>
      <w:r>
        <w:t>- Sequence: CACGTGCACGTGCACGTGCACGTGTATAAAAG</w:t>
      </w:r>
    </w:p>
    <w:p>
      <w:pPr>
        <w:pStyle w:val="ListBullet"/>
      </w:pPr>
      <w:r>
        <w:t>- Composed of four E-box motifs (CACGTG) and a minimal TATA box core promoter.</w:t>
      </w:r>
    </w:p>
    <w:p>
      <w:pPr>
        <w:pStyle w:val="ListBullet"/>
      </w:pPr>
      <w:r>
        <w:t>- Responds to elevated MYC activity, common in cancer cells.</w:t>
      </w:r>
    </w:p>
    <w:p/>
    <w:p>
      <w:pPr>
        <w:pStyle w:val="ListBullet"/>
      </w:pPr>
      <w:r>
        <w:t>- **5' UTR ROS Riboswitch:**</w:t>
      </w:r>
    </w:p>
    <w:p>
      <w:pPr>
        <w:pStyle w:val="ListBullet"/>
      </w:pPr>
      <w:r>
        <w:t>- Sequence: GGAAGAGGAGGAAGAGGAGGAACAGTACACGTAGCTGTACTCGGATGCTAC</w:t>
      </w:r>
    </w:p>
    <w:p>
      <w:pPr>
        <w:pStyle w:val="ListBullet"/>
      </w:pPr>
      <w:r>
        <w:t>- Folds into a structure that blocks the ribosome binding site unless ROS levels are elevated.</w:t>
      </w:r>
    </w:p>
    <w:p/>
    <w:p>
      <w:pPr>
        <w:pStyle w:val="ListBullet"/>
      </w:pPr>
      <w:r>
        <w:t>- **Coding Sequence (Payload):**</w:t>
      </w:r>
    </w:p>
    <w:p>
      <w:pPr>
        <w:pStyle w:val="ListBullet"/>
      </w:pPr>
      <w:r>
        <w:t>- Example: Enhanced Green Fluorescent Protein (GFP) coding sequence.</w:t>
      </w:r>
    </w:p>
    <w:p>
      <w:pPr>
        <w:pStyle w:val="ListBullet"/>
      </w:pPr>
      <w:r>
        <w:t>- Can be substituted with therapeutic genes such as Diphtheria toxin A (DTA), Granzyme B, or TRAIL.</w:t>
      </w:r>
    </w:p>
    <w:p/>
    <w:p>
      <w:pPr>
        <w:pStyle w:val="ListBullet"/>
      </w:pPr>
      <w:r>
        <w:t>- **3' UTR let-7 Response Elements:**</w:t>
      </w:r>
    </w:p>
    <w:p>
      <w:pPr>
        <w:pStyle w:val="ListBullet"/>
      </w:pPr>
      <w:r>
        <w:t>- Sequence (repeated 4x): AACTATACAACCTACTACCTCA</w:t>
      </w:r>
    </w:p>
    <w:p>
      <w:pPr>
        <w:pStyle w:val="ListBullet"/>
      </w:pPr>
      <w:r>
        <w:t>- Matches the seed region of let-7a microRNA, promoting degradation in non-cancerous cells.</w:t>
      </w:r>
    </w:p>
    <w:p/>
    <w:p>
      <w:pPr>
        <w:pStyle w:val="ListBullet"/>
      </w:pPr>
      <w:r>
        <w:t>- **Polyadenylation Signal:**</w:t>
      </w:r>
    </w:p>
    <w:p>
      <w:pPr>
        <w:pStyle w:val="ListBullet"/>
      </w:pPr>
      <w:r>
        <w:t>- Sequence: AATAAAAGCATTTTTTTTTTTTTTTTTTTTTTTTTTT</w:t>
      </w:r>
    </w:p>
    <w:p>
      <w:pPr>
        <w:pStyle w:val="ListBullet"/>
      </w:pPr>
      <w:r>
        <w:t>- Ensures proper mRNA termination and export.</w:t>
      </w:r>
    </w:p>
    <w:p/>
    <w:p>
      <w:pPr>
        <w:pStyle w:val="Heading1"/>
      </w:pPr>
      <w:r>
        <w:t>Claims:</w:t>
      </w:r>
    </w:p>
    <w:p/>
    <w:p>
      <w:pPr>
        <w:pStyle w:val="ListNumber"/>
      </w:pPr>
      <w:r>
        <w:t>1. A nucleic acid construct comprising:</w:t>
      </w:r>
    </w:p>
    <w:p>
      <w:r>
        <w:t>- (a) a MYC-responsive promoter;</w:t>
      </w:r>
    </w:p>
    <w:p>
      <w:r>
        <w:t>- (b) a 5' untranslated region (UTR) containing a ROS-activated riboswitch;</w:t>
      </w:r>
    </w:p>
    <w:p>
      <w:r>
        <w:t>- (c) a coding sequence encoding a detectable or therapeutic protein;</w:t>
      </w:r>
    </w:p>
    <w:p>
      <w:r>
        <w:t>- (d) a 3' UTR containing multiple microRNA let-7 binding sites.</w:t>
      </w:r>
    </w:p>
    <w:p/>
    <w:p>
      <w:pPr>
        <w:pStyle w:val="ListNumber"/>
      </w:pPr>
      <w:r>
        <w:t>2. The construct of claim 1, wherein the coding sequence encodes green fluorescent protein (GFP).</w:t>
      </w:r>
    </w:p>
    <w:p/>
    <w:p>
      <w:r>
        <w:t>3. The construct of claim 1, wherein the coding sequence encodes a cytotoxic protein selected from the group consisting of diphtheria toxin A, TRAIL, or Granzyme B.</w:t>
      </w:r>
    </w:p>
    <w:p/>
    <w:p>
      <w:r>
        <w:t>4. The construct of claim 1, wherein expression occurs only when MYC activity is elevated, ROS levels are elevated, and let-7 levels are low.</w:t>
      </w:r>
    </w:p>
    <w:p/>
    <w:p>
      <w:r>
        <w:t>5. A method of selectively expressing a gene in tumor cells, comprising introducing the construct of claim 1 into a cell population and allowing expression only in cells exhibiting the specified input conditions.</w:t>
      </w:r>
    </w:p>
    <w:p/>
    <w:p>
      <w:pPr>
        <w:pStyle w:val="Heading1"/>
      </w:pPr>
      <w:r>
        <w:t>Appendix:</w:t>
      </w:r>
    </w:p>
    <w:p>
      <w:pPr>
        <w:pStyle w:val="ListBullet"/>
      </w:pPr>
      <w:r>
        <w:t>- Full GenBank sequence export (attached)</w:t>
      </w:r>
    </w:p>
    <w:p>
      <w:pPr>
        <w:pStyle w:val="ListBullet"/>
      </w:pPr>
      <w:r>
        <w:t>- mRNA folding analysis report (dot-bracket + MFE)</w:t>
      </w:r>
    </w:p>
    <w:p>
      <w:pPr>
        <w:pStyle w:val="ListBullet"/>
      </w:pPr>
      <w:r>
        <w:t>- Benchling plasmid map screenshots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