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Civica SNAP</w:t>
      </w:r>
    </w:p>
    <w:p>
      <w:pPr>
        <w:spacing w:after="60" w:before="0"/>
      </w:pPr>
      <w:r>
        <w:rPr>
          <w:rFonts w:ascii="Arial" w:cs="Arial" w:eastAsia="Arial" w:hAnsi="Arial"/>
          <w:color w:val="2E75B6"/>
          <w:sz w:val="32"/>
          <w:szCs w:val="32"/>
        </w:rPr>
        <w:t xml:space="preserve">Counsel Review Brief</w:t>
      </w:r>
    </w:p>
    <w:p>
      <w:pPr>
        <w:spacing w:after="60" w:before="0"/>
      </w:pPr>
      <w:r>
        <w:rPr>
          <w:rFonts w:ascii="Arial" w:cs="Arial" w:eastAsia="Arial" w:hAnsi="Arial"/>
          <w:i/>
          <w:iCs/>
          <w:color w:val="444444"/>
          <w:sz w:val="22"/>
          <w:szCs w:val="22"/>
        </w:rPr>
        <w:t xml:space="preserve">OBBBA / 7 CFR 277.4 Compliance — Track 2 Signoff Items</w:t>
      </w:r>
    </w:p>
    <w:p>
      <w:pPr>
        <w:pBdr>
          <w:bottom w:val="single" w:color="2E75B6" w:sz="6" w:space="6"/>
        </w:pBdr>
        <w:spacing w:after="0" w:before="0"/>
      </w:pPr>
      <w:r>
        <w:rPr>
          <w:rFonts w:ascii="Arial" w:cs="Arial" w:eastAsia="Arial" w:hAnsi="Arial"/>
          <w:sz w:val="20"/>
          <w:szCs w:val="20"/>
        </w:rPr>
        <w:t xml:space="preserve"/>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19"/>
                <w:szCs w:val="19"/>
              </w:rPr>
              <w:t xml:space="preserve">Date:</w:t>
            </w:r>
          </w:p>
        </w:tc>
        <w:tc>
          <w:tcPr>
            <w:tcW w:type="dxa" w:w="8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9"/>
                <w:szCs w:val="19"/>
              </w:rPr>
              <w:t xml:space="preserve">May 2026</w:t>
            </w:r>
          </w:p>
        </w:tc>
      </w:tr>
      <w:tr>
        <w:tc>
          <w:tcPr>
            <w:tcW w:type="dxa" w:w="1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19"/>
                <w:szCs w:val="19"/>
              </w:rPr>
              <w:t xml:space="preserve">From:</w:t>
            </w:r>
          </w:p>
        </w:tc>
        <w:tc>
          <w:tcPr>
            <w:tcW w:type="dxa" w:w="8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9"/>
                <w:szCs w:val="19"/>
              </w:rPr>
              <w:t xml:space="preserve">Engineering / Product</w:t>
            </w:r>
          </w:p>
        </w:tc>
      </w:tr>
      <w:tr>
        <w:tc>
          <w:tcPr>
            <w:tcW w:type="dxa" w:w="1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19"/>
                <w:szCs w:val="19"/>
              </w:rPr>
              <w:t xml:space="preserve">To:</w:t>
            </w:r>
          </w:p>
        </w:tc>
        <w:tc>
          <w:tcPr>
            <w:tcW w:type="dxa" w:w="8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9"/>
                <w:szCs w:val="19"/>
              </w:rPr>
              <w:t xml:space="preserve">Counsel</w:t>
            </w:r>
          </w:p>
        </w:tc>
      </w:tr>
      <w:tr>
        <w:tc>
          <w:tcPr>
            <w:tcW w:type="dxa" w:w="1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19"/>
                <w:szCs w:val="19"/>
              </w:rPr>
              <w:t xml:space="preserve">Status:</w:t>
            </w:r>
          </w:p>
        </w:tc>
        <w:tc>
          <w:tcPr>
            <w:tcW w:type="dxa" w:w="8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C00000"/>
                <w:sz w:val="19"/>
                <w:szCs w:val="19"/>
              </w:rPr>
              <w:t xml:space="preserve">CONFIDENTIAL — Attorney-Client Privileged</w:t>
            </w:r>
          </w:p>
        </w:tc>
      </w:tr>
    </w:tbl>
    <w:p>
      <w:pPr>
        <w:spacing w:after="0" w:before="200"/>
      </w:pPr>
      <w:r>
        <w:t xml:space="preserve"/>
      </w:r>
    </w:p>
    <w:p>
      <w:pPr>
        <w:pStyle w:val="Heading1"/>
        <w:spacing w:after="120" w:before="360"/>
      </w:pPr>
      <w:r>
        <w:rPr>
          <w:rFonts w:ascii="Arial" w:cs="Arial" w:eastAsia="Arial" w:hAnsi="Arial"/>
          <w:b/>
          <w:bCs/>
          <w:color w:val="1F3864"/>
          <w:sz w:val="26"/>
          <w:szCs w:val="26"/>
        </w:rPr>
        <w:t xml:space="preserve">Purpose</w:t>
      </w:r>
    </w:p>
    <w:p>
      <w:pPr>
        <w:spacing w:after="80" w:before="80"/>
      </w:pPr>
      <w:r>
        <w:rPr>
          <w:rFonts w:ascii="Arial" w:cs="Arial" w:eastAsia="Arial" w:hAnsi="Arial"/>
          <w:sz w:val="20"/>
          <w:szCs w:val="20"/>
        </w:rPr>
        <w:t xml:space="preserve">This brief covers the Track 2 compliance items from Civica's OBBBA (P.L. 119-21) and 7 CFR 277.4 audit that are blocked on legal review and signoff. Engineering has completed all implementation work for these items; the app is holding approved copy, policy positions, and trigger criteria pending counsel confirmation.</w:t>
      </w:r>
    </w:p>
    <w:p>
      <w:pPr>
        <w:spacing w:after="0" w:before="60"/>
      </w:pPr>
      <w:r>
        <w:t xml:space="preserve"/>
      </w:r>
    </w:p>
    <w:p>
      <w:pPr>
        <w:spacing w:after="80" w:before="80"/>
      </w:pPr>
      <w:r>
        <w:rPr>
          <w:rFonts w:ascii="Arial" w:cs="Arial" w:eastAsia="Arial" w:hAnsi="Arial"/>
          <w:sz w:val="20"/>
          <w:szCs w:val="20"/>
        </w:rPr>
        <w:t xml:space="preserve">For each item below: the current state is described, the specific question for counsel is stated, and the engineering action that follows approval is noted.</w:t>
      </w:r>
    </w:p>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Q1 — ABAWD Tribal Exemption (Item 1.3) — Strings EN + ES</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OBBBA §10102 preserves the federal exemption from SNAP's Able-Bodied Adult Without Dependents (ABAWD) work requirement for members of federally recognized tribes. This exemption is distinct from geographic waivers and employment waivers and was not modified by the age-band expansion. Civica's Items 1.1 (age band 18→64) and 1.2 (dependent-child exception under-18 → under-14) have shipped. Item 1.3 — the tribal exemption question and outcome copy — is built and waiting on string approval.</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Risk without review</w:t>
            </w:r>
          </w:p>
          <w:p>
            <w:pPr>
              <w:spacing w:after="0" w:before="0"/>
            </w:pPr>
            <w:r>
              <w:rPr>
                <w:rFonts w:ascii="Arial" w:cs="Arial" w:eastAsia="Arial" w:hAnsi="Arial"/>
                <w:sz w:val="20"/>
                <w:szCs w:val="20"/>
              </w:rPr>
              <w:t xml:space="preserve">Mischaracterizing who qualifies risks over-including applicants (state denies exemption, user frustrated and misled) or under-including them (eligible tribal members told they do not qualify, effectively denied navigation support they are entitled to).</w:t>
            </w:r>
          </w:p>
        </w:tc>
      </w:tr>
    </w:tbl>
    <w:p>
      <w:pPr>
        <w:spacing w:after="0" w:before="100"/>
      </w:pPr>
      <w:r>
        <w:t xml:space="preserve"/>
      </w:r>
    </w:p>
    <w:p>
      <w:pPr>
        <w:spacing w:after="40" w:before="120"/>
      </w:pPr>
      <w:r>
        <w:rPr>
          <w:rFonts w:ascii="Arial" w:cs="Arial" w:eastAsia="Arial" w:hAnsi="Arial"/>
          <w:b/>
          <w:bCs/>
          <w:color w:val="1F3864"/>
          <w:sz w:val="20"/>
          <w:szCs w:val="20"/>
        </w:rPr>
        <w:t xml:space="preserve">Draft strings awaiting approval</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5F5F5" w:val="clear"/>
            <w:tcMar>
              <w:top w:type="dxa" w:w="100"/>
              <w:left w:type="dxa" w:w="200"/>
              <w:bottom w:type="dxa" w:w="100"/>
              <w:right w:type="dxa" w:w="200"/>
            </w:tcMar>
          </w:tcPr>
          <w:p>
            <w:pPr>
              <w:spacing w:after="40" w:before="0"/>
            </w:pPr>
            <w:r>
              <w:rPr>
                <w:rFonts w:ascii="Arial" w:cs="Arial" w:eastAsia="Arial" w:hAnsi="Arial"/>
                <w:b/>
                <w:bCs/>
                <w:color w:val="555555"/>
                <w:sz w:val="18"/>
                <w:szCs w:val="18"/>
              </w:rPr>
              <w:t xml:space="preserve">Question</w:t>
            </w:r>
          </w:p>
          <w:p>
            <w:pPr>
              <w:spacing w:after="40" w:before="0"/>
            </w:pPr>
            <w:r>
              <w:rPr>
                <w:rFonts w:ascii="Arial" w:cs="Arial" w:eastAsia="Arial" w:hAnsi="Arial"/>
                <w:sz w:val="20"/>
                <w:szCs w:val="20"/>
              </w:rPr>
              <w:t xml:space="preserve">EN: Are you a member of a federally recognized tribe?</w:t>
            </w:r>
          </w:p>
          <w:p>
            <w:pPr>
              <w:spacing w:after="0" w:before="0"/>
            </w:pPr>
            <w:r>
              <w:rPr>
                <w:rFonts w:ascii="Arial" w:cs="Arial" w:eastAsia="Arial" w:hAnsi="Arial"/>
                <w:i/>
                <w:iCs/>
                <w:sz w:val="20"/>
                <w:szCs w:val="20"/>
              </w:rPr>
              <w:t xml:space="preserve">ES: ¿Es usted miembro de una tribu reconocida a nivel federal?</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5F5F5" w:val="clear"/>
            <w:tcMar>
              <w:top w:type="dxa" w:w="100"/>
              <w:left w:type="dxa" w:w="200"/>
              <w:bottom w:type="dxa" w:w="100"/>
              <w:right w:type="dxa" w:w="200"/>
            </w:tcMar>
          </w:tcPr>
          <w:p>
            <w:pPr>
              <w:spacing w:after="40" w:before="0"/>
            </w:pPr>
            <w:r>
              <w:rPr>
                <w:rFonts w:ascii="Arial" w:cs="Arial" w:eastAsia="Arial" w:hAnsi="Arial"/>
                <w:b/>
                <w:bCs/>
                <w:color w:val="555555"/>
                <w:sz w:val="18"/>
                <w:szCs w:val="18"/>
              </w:rPr>
              <w:t xml:space="preserve">Outcome — exempt</w:t>
            </w:r>
          </w:p>
          <w:p>
            <w:pPr>
              <w:spacing w:after="40" w:before="0"/>
            </w:pPr>
            <w:r>
              <w:rPr>
                <w:rFonts w:ascii="Arial" w:cs="Arial" w:eastAsia="Arial" w:hAnsi="Arial"/>
                <w:sz w:val="20"/>
                <w:szCs w:val="20"/>
              </w:rPr>
              <w:t xml:space="preserve">EN: As a tribal member, you are exempt from SNAP's work requirement under federal law.</w:t>
            </w:r>
          </w:p>
          <w:p>
            <w:pPr>
              <w:spacing w:after="0" w:before="0"/>
            </w:pPr>
            <w:r>
              <w:rPr>
                <w:rFonts w:ascii="Arial" w:cs="Arial" w:eastAsia="Arial" w:hAnsi="Arial"/>
                <w:i/>
                <w:iCs/>
                <w:sz w:val="20"/>
                <w:szCs w:val="20"/>
              </w:rPr>
              <w:t xml:space="preserve">ES: Como miembro de una tribu, usted está exento del requisito de trabajo de SNAP según la ley federal.</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5F5F5" w:val="clear"/>
            <w:tcMar>
              <w:top w:type="dxa" w:w="100"/>
              <w:left w:type="dxa" w:w="200"/>
              <w:bottom w:type="dxa" w:w="100"/>
              <w:right w:type="dxa" w:w="200"/>
            </w:tcMar>
          </w:tcPr>
          <w:p>
            <w:pPr>
              <w:spacing w:after="40" w:before="0"/>
            </w:pPr>
            <w:r>
              <w:rPr>
                <w:rFonts w:ascii="Arial" w:cs="Arial" w:eastAsia="Arial" w:hAnsi="Arial"/>
                <w:b/>
                <w:bCs/>
                <w:color w:val="555555"/>
                <w:sz w:val="18"/>
                <w:szCs w:val="18"/>
              </w:rPr>
              <w:t xml:space="preserve">Outcome — not exempt</w:t>
            </w:r>
          </w:p>
          <w:p>
            <w:pPr>
              <w:spacing w:after="40" w:before="0"/>
            </w:pPr>
            <w:r>
              <w:rPr>
                <w:rFonts w:ascii="Arial" w:cs="Arial" w:eastAsia="Arial" w:hAnsi="Arial"/>
                <w:sz w:val="20"/>
                <w:szCs w:val="20"/>
              </w:rPr>
              <w:t xml:space="preserve">EN: Based on your answer, the work requirement may apply to you. A navigator can help you understand your specific situation.</w:t>
            </w:r>
          </w:p>
          <w:p>
            <w:pPr>
              <w:spacing w:after="0" w:before="0"/>
            </w:pPr>
            <w:r>
              <w:rPr>
                <w:rFonts w:ascii="Arial" w:cs="Arial" w:eastAsia="Arial" w:hAnsi="Arial"/>
                <w:i/>
                <w:iCs/>
                <w:sz w:val="20"/>
                <w:szCs w:val="20"/>
              </w:rPr>
              <w:t xml:space="preserve">ES: Según su respuesta, el requisito de trabajo puede aplicarle. Un navegador puede ayudarle a entender su situación específica.</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Are these strings accurate and legally appropriate for a decision-support application? Please redline any phrase that overstates the exemption or misstates the qualifying criteria.</w:t>
            </w:r>
          </w:p>
        </w:tc>
      </w:tr>
    </w:tbl>
    <w:p>
      <w:pPr>
        <w:spacing w:after="0" w:before="80"/>
      </w:pPr>
      <w:r>
        <w:t xml:space="preserve"/>
      </w:r>
    </w:p>
    <w:p>
      <w:pPr>
        <w:spacing w:after="80" w:before="80"/>
      </w:pPr>
      <w:r>
        <w:rPr>
          <w:rFonts w:ascii="Arial" w:cs="Arial" w:eastAsia="Arial" w:hAnsi="Arial"/>
          <w:b/>
          <w:bCs/>
          <w:sz w:val="20"/>
          <w:szCs w:val="20"/>
        </w:rPr>
        <w:t xml:space="preserve">Engineering action on approval: </w:t>
      </w:r>
      <w:r>
        <w:rPr>
          <w:rFonts w:ascii="Arial" w:cs="Arial" w:eastAsia="Arial" w:hAnsi="Arial"/>
          <w:color w:val="444444"/>
          <w:sz w:val="20"/>
          <w:szCs w:val="20"/>
        </w:rPr>
        <w:t xml:space="preserve">Flip status to .approved in SNAPComplianceCopyRegistry.swift, fill approvedEnglish + approvedSpanish, wire question into ABAWD flow. One PR, ~30 min.</w:t>
      </w:r>
    </w:p>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Q3 — §6 Compliance Copy (9 Pending Strings)</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The audit identified phrases in the app that cross from decision-support into implied guarantee or agency relationship. Nine replacement strings are staged in SNAPComplianceCopyRegistry.swift with status .pendingSignoff. The old strings remain live as fallback until approved copy is confirmed — nothing ships without signoff.</w:t>
      </w:r>
    </w:p>
    <w:p>
      <w:pPr>
        <w:spacing w:after="0" w:before="60"/>
      </w:pPr>
      <w:r>
        <w:t xml:space="preserve"/>
      </w:r>
    </w:p>
    <w:p>
      <w:pPr>
        <w:spacing w:after="80" w:before="80"/>
      </w:pPr>
      <w:r>
        <w:rPr>
          <w:rFonts w:ascii="Arial" w:cs="Arial" w:eastAsia="Arial" w:hAnsi="Arial"/>
          <w:sz w:val="20"/>
          <w:szCs w:val="20"/>
        </w:rPr>
        <w:t xml:space="preserve">The problem pattern: phrases like “you’ll receive,” “submit to DTA,” and similar wording either imply a benefit guarantee Civica cannot make or suggest an agency relationship with DTA that Civica does not have.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For each of the 9 staged strings below, please confirm the proposed replacement is acceptable, or provide redlined alternative copy. Responses can be line-by-line in the table.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760"/>
        <w:gridCol w:w="200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ID</w:t>
            </w:r>
          </w:p>
        </w:tc>
        <w:tc>
          <w:tcPr>
            <w:tcW w:type="dxa" w:w="29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Current (live) string</w:t>
            </w:r>
          </w:p>
        </w:tc>
        <w:tc>
          <w:tcPr>
            <w:tcW w:type="dxa" w:w="37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Proposed replacement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Counsel 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"You'll likely receive approximately $[amount] per 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"If approved, DTA determines your benefit amount — our estimate is based on your answers and federal guidelines"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CR-002</w:t>
            </w:r>
          </w:p>
        </w:tc>
        <w:tc>
          <w:tcPr>
            <w:tcW w:type="dxa" w:w="2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"Submit your application through Civica"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"Open DTA Connect to file your application — use this summary as your guide"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"Your SNAP benefit is $[amount]"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"Based on your answers, your estimated benefit may be around $[amount] if 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CR-004</w:t>
            </w:r>
          </w:p>
        </w:tc>
        <w:tc>
          <w:tcPr>
            <w:tcW w:type="dxa" w:w="2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"Civica will submit your information to DTA"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"This app does not submit to DTA — you file directly through DTA Connect"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"You qualify for SNAP"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"Based on what you've shared, you may be eligible for SNAP — DTA makes the final determination"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CR-006</w:t>
            </w:r>
          </w:p>
        </w:tc>
        <w:tc>
          <w:tcPr>
            <w:tcW w:type="dxa" w:w="2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"Your application has been submitted"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"Your application summary is ready to share with DTA — it has not been filed on your behalf"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"Guaranteed minimum benefit of $24"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"If approved, SNAP includes a minimum monthly benefit — DTA confirms the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CR-008</w:t>
            </w:r>
          </w:p>
        </w:tc>
        <w:tc>
          <w:tcPr>
            <w:tcW w:type="dxa" w:w="2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"Preparing for your interview will improve your chances"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val="false"/>
                <w:iCs w:val="false"/>
                <w:color w:val="000000"/>
                <w:sz w:val="17"/>
                <w:szCs w:val="17"/>
              </w:rPr>
              <w:t xml:space="preserve">"Your interview is a chance to clarify your situation — a navigator can help you know what to expect"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CR-009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"Civica connects you to DTA"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000000"/>
                <w:sz w:val="17"/>
                <w:szCs w:val="17"/>
              </w:rPr>
              <w:t xml:space="preserve">"Civica helps you prepare — you connect to DTA directly"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7"/>
                <w:szCs w:val="17"/>
              </w:rPr>
              <w:t xml:space="preserve">[pending]</w:t>
            </w:r>
          </w:p>
        </w:tc>
      </w:tr>
    </w:tbl>
    <w:p>
      <w:pPr>
        <w:spacing w:after="0" w:before="100"/>
      </w:pPr>
      <w:r>
        <w:t xml:space="preserve"/>
      </w:r>
    </w:p>
    <w:p>
      <w:pPr>
        <w:spacing w:after="80" w:before="80"/>
      </w:pPr>
      <w:r>
        <w:rPr>
          <w:rFonts w:ascii="Arial" w:cs="Arial" w:eastAsia="Arial" w:hAnsi="Arial"/>
          <w:b/>
          <w:bCs/>
          <w:sz w:val="20"/>
          <w:szCs w:val="20"/>
        </w:rPr>
        <w:t xml:space="preserve">Engineering action on approval: </w:t>
      </w:r>
      <w:r>
        <w:rPr>
          <w:rFonts w:ascii="Arial" w:cs="Arial" w:eastAsia="Arial" w:hAnsi="Arial"/>
          <w:color w:val="444444"/>
          <w:sz w:val="20"/>
          <w:szCs w:val="20"/>
        </w:rPr>
        <w:t xml:space="preserve">Each approved row is a one-line status flip + string fill in SNAPComplianceCopyRegistry.swift. Rows can be approved individually; partial approvals ship incrementally.</w:t>
      </w:r>
    </w:p>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Q4 — §10108 Noncitizen Disclosure</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OBBBA §10108 removes SNAP eligibility for refugees and asylum seekers specifically (estimated 120,000–250,000 affected nationally). Lawful permanent residents, PRUCOL individuals, and Cuban/Haitian entrants have different rules that §10108 did not uniformly change. The app currently presents a simplified noncitizen eligibility screen that does not reflect the §10108 change or distinguish between noncitizen categories.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Risk without review</w:t>
            </w:r>
          </w:p>
          <w:p>
            <w:pPr>
              <w:spacing w:after="0" w:before="0"/>
            </w:pPr>
            <w:r>
              <w:rPr>
                <w:rFonts w:ascii="Arial" w:cs="Arial" w:eastAsia="Arial" w:hAnsi="Arial"/>
                <w:sz w:val="20"/>
                <w:szCs w:val="20"/>
              </w:rPr>
              <w:t xml:space="preserve">Representing the rule as broader than it is (telling an LPR they are ineligible when they are not) or narrower than it is (not flagging the change for affected refugee/asylee users) both constitute material misrepresentation with immigration dimensions.</w:t>
            </w:r>
          </w:p>
        </w:tc>
      </w:tr>
    </w:tbl>
    <w:p>
      <w:pPr>
        <w:spacing w:after="0" w:before="100"/>
      </w:pPr>
      <w:r>
        <w:t xml:space="preserve"/>
      </w:r>
    </w:p>
    <w:p>
      <w:pPr>
        <w:spacing w:after="40" w:before="120"/>
      </w:pPr>
      <w:r>
        <w:rPr>
          <w:rFonts w:ascii="Arial" w:cs="Arial" w:eastAsia="Arial" w:hAnsi="Arial"/>
          <w:b/>
          <w:bCs/>
          <w:color w:val="1F3864"/>
          <w:sz w:val="20"/>
          <w:szCs w:val="20"/>
        </w:rPr>
        <w:t xml:space="preserve">Draft disclosure copy awaiting approval</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5F5F5" w:val="clear"/>
            <w:tcMar>
              <w:top w:type="dxa" w:w="100"/>
              <w:left w:type="dxa" w:w="200"/>
              <w:bottom w:type="dxa" w:w="100"/>
              <w:right w:type="dxa" w:w="200"/>
            </w:tcMar>
          </w:tcPr>
          <w:p>
            <w:pPr>
              <w:spacing w:after="40" w:before="0"/>
            </w:pPr>
            <w:r>
              <w:rPr>
                <w:rFonts w:ascii="Arial" w:cs="Arial" w:eastAsia="Arial" w:hAnsi="Arial"/>
                <w:b/>
                <w:bCs/>
                <w:color w:val="555555"/>
                <w:sz w:val="18"/>
                <w:szCs w:val="18"/>
              </w:rPr>
              <w:t xml:space="preserve">Disclosure</w:t>
            </w:r>
          </w:p>
          <w:p>
            <w:pPr>
              <w:spacing w:after="40" w:before="0"/>
            </w:pPr>
            <w:r>
              <w:rPr>
                <w:rFonts w:ascii="Arial" w:cs="Arial" w:eastAsia="Arial" w:hAnsi="Arial"/>
                <w:sz w:val="20"/>
                <w:szCs w:val="20"/>
              </w:rPr>
              <w:t xml:space="preserve">EN: SNAP eligibility rules for non-citizens changed in 2025. If you are a refugee or asylum seeker, you may no longer qualify. If you are a lawful permanent resident or in another immigration status, different rules apply. A navigator can help you understand your specific situation.</w:t>
            </w:r>
          </w:p>
          <w:p>
            <w:pPr>
              <w:spacing w:after="0" w:before="0"/>
            </w:pPr>
            <w:r>
              <w:rPr>
                <w:rFonts w:ascii="Arial" w:cs="Arial" w:eastAsia="Arial" w:hAnsi="Arial"/>
                <w:i/>
                <w:iCs/>
                <w:sz w:val="20"/>
                <w:szCs w:val="20"/>
              </w:rPr>
              <w:t xml:space="preserve">ES: Las reglas de elegibilidad de SNAP para personas que no son ciudadanas cambiaron en 2025. Si usted es refugiado o solicitante de asilo, es posible que ya no califique. Si usted es residente permanente legal o tiene otro estatus migratorio, se aplican reglas diferentes. Un navegador puede ayudarle a entender su situación específica.</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(a) Is this disclosure accurate as written?
(b) Should the app attempt to categorize users by immigration status at all, or is a blanket “consult a navigator” posture safer?
(c) Are there specific noncitizen categories that require affirmative disclosure beyond what is drafted?</w:t>
            </w:r>
          </w:p>
        </w:tc>
      </w:tr>
    </w:tbl>
    <w:p>
      <w:pPr>
        <w:spacing w:after="0" w:before="80"/>
      </w:pPr>
      <w:r>
        <w:t xml:space="preserve"/>
      </w:r>
    </w:p>
    <w:p>
      <w:pPr>
        <w:spacing w:after="80" w:before="80"/>
      </w:pPr>
      <w:r>
        <w:rPr>
          <w:rFonts w:ascii="Arial" w:cs="Arial" w:eastAsia="Arial" w:hAnsi="Arial"/>
          <w:b/>
          <w:bCs/>
          <w:sz w:val="20"/>
          <w:szCs w:val="20"/>
        </w:rPr>
        <w:t xml:space="preserve">Engineering action on approval: </w:t>
      </w:r>
      <w:r>
        <w:rPr>
          <w:rFonts w:ascii="Arial" w:cs="Arial" w:eastAsia="Arial" w:hAnsi="Arial"/>
          <w:color w:val="444444"/>
          <w:sz w:val="20"/>
          <w:szCs w:val="20"/>
        </w:rPr>
        <w:t xml:space="preserve">Wire disclosure into noncitizen eligibility screen, add to compliance registry. One PR.</w:t>
      </w:r>
    </w:p>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Q5 — LLM Retention Policy + Distress Gate</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Civica uses an LLM-based conversation for parts of the intake flow. Two distinct items require counsel input:</w:t>
      </w:r>
    </w:p>
    <w:p>
      <w:pPr>
        <w:spacing w:after="0" w:before="60"/>
      </w:pPr>
      <w:r>
        <w:t xml:space="preserve"/>
      </w:r>
    </w:p>
    <w:p>
      <w:pPr>
        <w:pStyle w:val="ListParagraph"/>
        <w:numPr>
          <w:ilvl w:val="0"/>
          <w:numId w:val="2"/>
        </w:numPr>
        <w:spacing w:after="60" w:before="60"/>
      </w:pPr>
      <w:r>
        <w:rPr>
          <w:rFonts w:ascii="Arial" w:cs="Arial" w:eastAsia="Arial" w:hAnsi="Arial"/>
          <w:b/>
          <w:bCs/>
          <w:sz w:val="20"/>
          <w:szCs w:val="20"/>
        </w:rPr>
        <w:t xml:space="preserve">5a. Retention policy: </w:t>
      </w:r>
      <w:r>
        <w:rPr>
          <w:rFonts w:ascii="Arial" w:cs="Arial" w:eastAsia="Arial" w:hAnsi="Arial"/>
          <w:sz w:val="20"/>
          <w:szCs w:val="20"/>
        </w:rPr>
        <w:t xml:space="preserve">civica_llm_retention_policy.md (CIVICA-POL-001, v0.1) is drafted with a framework of 90-day TTL on structured/de-identified logs, 0-day retention on raw voice transcripts and document content, and Zero Data Retention (ZDR) required for any LLM provider touching PII. The document has a counsel-approval block at §10 that is unsigned.</w:t>
      </w:r>
    </w:p>
    <w:p>
      <w:pPr>
        <w:pStyle w:val="ListParagraph"/>
        <w:numPr>
          <w:ilvl w:val="0"/>
          <w:numId w:val="2"/>
        </w:numPr>
        <w:spacing w:after="60" w:before="60"/>
      </w:pPr>
      <w:r>
        <w:rPr>
          <w:rFonts w:ascii="Arial" w:cs="Arial" w:eastAsia="Arial" w:hAnsi="Arial"/>
          <w:b/>
          <w:bCs/>
          <w:sz w:val="20"/>
          <w:szCs w:val="20"/>
        </w:rPr>
        <w:t xml:space="preserve">5b. Distress gate: </w:t>
      </w:r>
      <w:r>
        <w:rPr>
          <w:rFonts w:ascii="Arial" w:cs="Arial" w:eastAsia="Arial" w:hAnsi="Arial"/>
          <w:sz w:val="20"/>
          <w:szCs w:val="20"/>
        </w:rPr>
        <w:t xml:space="preserve">If the LLM detects a distress signal in a user's message, the app is designed to show a confirmation gate before continuing — surface a crisis resource, require user acknowledgment. The gate is built but toggled off. Trigger criteria and gate copy have not been approved. The gate being built-but-disabled is the correct posture while waiting.</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Risk without review</w:t>
            </w:r>
          </w:p>
          <w:p>
            <w:pPr>
              <w:spacing w:after="0" w:before="0"/>
            </w:pPr>
            <w:r>
              <w:rPr>
                <w:rFonts w:ascii="Arial" w:cs="Arial" w:eastAsia="Arial" w:hAnsi="Arial"/>
                <w:sz w:val="20"/>
                <w:szCs w:val="20"/>
              </w:rPr>
              <w:t xml:space="preserve">Having a built-but-disabled distress gate while the app has notice of potential distress signals creates exposure if the gate criteria are never reviewed. Under-triggering fails to surface crisis resources; over-triggering damages user trust. Both are reviewable outcomes.</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5a: Please review civica_llm_retention_policy.md §1–§10 and sign the approval block at §10, or redline sections requiring revision. Specific open question: is 90-day TTL adequate, or does counsel require a shorter window or additional RBAC controls?
5b: Are the proposed distress trigger criteria and gate copy appropriate? What is counsel's position on whether a warning gate is legally adequate vs. whether the app must suppress the LLM conversation entirely when distress is detected?</w:t>
            </w:r>
          </w:p>
        </w:tc>
      </w:tr>
    </w:tbl>
    <w:p>
      <w:pPr>
        <w:spacing w:after="0" w:before="80"/>
      </w:pPr>
      <w:r>
        <w:t xml:space="preserve"/>
      </w:r>
    </w:p>
    <w:p>
      <w:pPr>
        <w:spacing w:after="80" w:before="80"/>
      </w:pPr>
      <w:r>
        <w:rPr>
          <w:rFonts w:ascii="Arial" w:cs="Arial" w:eastAsia="Arial" w:hAnsi="Arial"/>
          <w:b/>
          <w:bCs/>
          <w:sz w:val="20"/>
          <w:szCs w:val="20"/>
        </w:rPr>
        <w:t xml:space="preserve">Engineering action on approval: </w:t>
      </w:r>
      <w:r>
        <w:rPr>
          <w:rFonts w:ascii="Arial" w:cs="Arial" w:eastAsia="Arial" w:hAnsi="Arial"/>
          <w:color w:val="444444"/>
          <w:sz w:val="20"/>
          <w:szCs w:val="20"/>
        </w:rPr>
        <w:t xml:space="preserve">5a: sign §10 block, commit policy doc. 5b: enable gate with approved trigger criteria and copy. Both code paths are built; the policy decision determines which activates.</w:t>
      </w:r>
    </w:p>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Q6 — Non-Federal Funding Pricing Rule (7 CFR 277.4)</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7 CFR 277.4(b)’s cost-match framework requires that if Civica receives funding from non-federal sources for SNAP navigation, any costs charged to SNAP must be properly allocated under §277.4(c)–(d). Whether this rule applies at all depends on Civica’s actual funding structure. The workspace analysis (cfr_277_and_ma_et_plan.md) has the §277.4 framework; the open question is whether Civica’s current funding (B2G contracts, grants, B2B fees, venture) creates an allocation obligation.</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Given Civica’s current funding sources, does §277.4 impose any cost-allocation obligation? If yes, what records does Civica need to maintain? Engineering has no action until counsel confirms whether this rule applies.</w:t>
            </w:r>
          </w:p>
        </w:tc>
      </w:tr>
    </w:tbl>
    <w:p>
      <w:pPr>
        <w:spacing w:after="0" w:before="240"/>
      </w:pPr>
      <w:r>
        <w:t xml:space="preserve"/>
      </w:r>
    </w:p>
    <w:p>
      <w:pPr>
        <w:pStyle w:val="Heading2"/>
        <w:pBdr>
          <w:bottom w:val="single" w:color="2E75B6" w:sz="4" w:space="4"/>
        </w:pBdr>
        <w:spacing w:after="80" w:before="280"/>
      </w:pPr>
      <w:r>
        <w:rPr>
          <w:rFonts w:ascii="Arial" w:cs="Arial" w:eastAsia="Arial" w:hAnsi="Arial"/>
          <w:b/>
          <w:bCs/>
          <w:color w:val="1F3864"/>
          <w:sz w:val="22"/>
          <w:szCs w:val="22"/>
        </w:rPr>
        <w:t xml:space="preserve">Q12 — Stale-Rules User Copy</w:t>
      </w:r>
    </w:p>
    <w:p>
      <w:pPr>
        <w:spacing w:after="40" w:before="120"/>
      </w:pPr>
      <w:r>
        <w:rPr>
          <w:rFonts w:ascii="Arial" w:cs="Arial" w:eastAsia="Arial" w:hAnsi="Arial"/>
          <w:b/>
          <w:bCs/>
          <w:color w:val="1F3864"/>
          <w:sz w:val="20"/>
          <w:szCs w:val="20"/>
        </w:rPr>
        <w:t xml:space="preserve">Background</w:t>
      </w:r>
    </w:p>
    <w:p>
      <w:pPr>
        <w:spacing w:after="80" w:before="80"/>
      </w:pPr>
      <w:r>
        <w:rPr>
          <w:rFonts w:ascii="Arial" w:cs="Arial" w:eastAsia="Arial" w:hAnsi="Arial"/>
          <w:sz w:val="20"/>
          <w:szCs w:val="20"/>
        </w:rPr>
        <w:t xml:space="preserve">Civica’s rules engine carries a CI tripwire test that fails after October 2026 if no FY27 snapshot lands. When rules are stale, the app needs user-facing copy explaining the limitation. The open question is whether a disclaimer is legally adequate or whether the estimator must be gated (suppressed) when rules are known-stale.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5F5F5" w:val="clear"/>
            <w:tcMar>
              <w:top w:type="dxa" w:w="100"/>
              <w:left w:type="dxa" w:w="200"/>
              <w:bottom w:type="dxa" w:w="100"/>
              <w:right w:type="dxa" w:w="200"/>
            </w:tcMar>
          </w:tcPr>
          <w:p>
            <w:pPr>
              <w:spacing w:after="40" w:before="0"/>
            </w:pPr>
            <w:r>
              <w:rPr>
                <w:rFonts w:ascii="Arial" w:cs="Arial" w:eastAsia="Arial" w:hAnsi="Arial"/>
                <w:b/>
                <w:bCs/>
                <w:color w:val="555555"/>
                <w:sz w:val="18"/>
                <w:szCs w:val="18"/>
              </w:rPr>
              <w:t xml:space="preserve">Draft disclaimer copy</w:t>
            </w:r>
          </w:p>
          <w:p>
            <w:pPr>
              <w:spacing w:after="40" w:before="0"/>
            </w:pPr>
            <w:r>
              <w:rPr>
                <w:rFonts w:ascii="Arial" w:cs="Arial" w:eastAsia="Arial" w:hAnsi="Arial"/>
                <w:sz w:val="20"/>
                <w:szCs w:val="20"/>
              </w:rPr>
              <w:t xml:space="preserve">EN: Our benefit estimate is based on rules in effect as of [snapshot date]. Federal rules may have changed — contact DTA or a navigator for the most current information.</w:t>
            </w:r>
          </w:p>
          <w:p>
            <w:pPr>
              <w:spacing w:after="0" w:before="0"/>
            </w:pPr>
            <w:r>
              <w:rPr>
                <w:rFonts w:ascii="Arial" w:cs="Arial" w:eastAsia="Arial" w:hAnsi="Arial"/>
                <w:i/>
                <w:iCs/>
                <w:sz w:val="20"/>
                <w:szCs w:val="20"/>
              </w:rPr>
              <w:t xml:space="preserve">ES: (Spanish translation pending approval of English)</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B800" w:sz="1"/>
              <w:left w:val="single" w:color="B8860B" w:sz="12"/>
              <w:bottom w:val="single" w:color="E6B800" w:sz="1"/>
              <w:right w:val="single" w:color="E6B800" w:sz="1"/>
            </w:tcBorders>
            <w:shd w:fill="FFF2CC" w:val="clear"/>
            <w:tcMar>
              <w:top w:type="dxa" w:w="100"/>
              <w:left w:type="dxa" w:w="200"/>
              <w:bottom w:type="dxa" w:w="100"/>
              <w:right w:type="dxa" w:w="200"/>
            </w:tcMar>
          </w:tcPr>
          <w:p>
            <w:pPr>
              <w:spacing w:after="40" w:before="0"/>
            </w:pPr>
            <w:r>
              <w:rPr>
                <w:rFonts w:ascii="Arial" w:cs="Arial" w:eastAsia="Arial" w:hAnsi="Arial"/>
                <w:b/>
                <w:bCs/>
                <w:color w:val="7D5A00"/>
                <w:sz w:val="18"/>
                <w:szCs w:val="18"/>
              </w:rPr>
              <w:t xml:space="preserve">COUNSEL QUESTION</w:t>
            </w:r>
          </w:p>
          <w:p>
            <w:pPr>
              <w:spacing w:after="0" w:before="0"/>
            </w:pPr>
            <w:r>
              <w:rPr>
                <w:rFonts w:ascii="Arial" w:cs="Arial" w:eastAsia="Arial" w:hAnsi="Arial"/>
                <w:sz w:val="20"/>
                <w:szCs w:val="20"/>
              </w:rPr>
              <w:t xml:space="preserve">Is a disclaimer adequate to limit liability on a stale estimate, or does the app need to affirmatively suppress the estimator and block access until a current snapshot is available?</w:t>
            </w:r>
          </w:p>
        </w:tc>
      </w:tr>
    </w:tbl>
    <w:p>
      <w:pPr>
        <w:spacing w:after="0" w:before="80"/>
      </w:pPr>
      <w:r>
        <w:t xml:space="preserve"/>
      </w:r>
    </w:p>
    <w:p>
      <w:pPr>
        <w:spacing w:after="80" w:before="80"/>
      </w:pPr>
      <w:r>
        <w:rPr>
          <w:rFonts w:ascii="Arial" w:cs="Arial" w:eastAsia="Arial" w:hAnsi="Arial"/>
          <w:b/>
          <w:bCs/>
          <w:sz w:val="20"/>
          <w:szCs w:val="20"/>
        </w:rPr>
        <w:t xml:space="preserve">Engineering action on approval: </w:t>
      </w:r>
      <w:r>
        <w:rPr>
          <w:rFonts w:ascii="Arial" w:cs="Arial" w:eastAsia="Arial" w:hAnsi="Arial"/>
          <w:color w:val="444444"/>
          <w:sz w:val="20"/>
          <w:szCs w:val="20"/>
        </w:rPr>
        <w:t xml:space="preserve">If disclaimer: wire copy and show when RuleSnapshotStatus == .expired. If gate required: suppress estimator entry point when .expired. Both code paths are built; counsel’s determination selects the path.</w:t>
      </w:r>
    </w:p>
    <w:p>
      <w:pPr>
        <w:spacing w:after="0" w:before="240"/>
      </w:pPr>
      <w:r>
        <w:t xml:space="preserve"/>
      </w:r>
    </w:p>
    <w:p>
      <w:pPr>
        <w:pStyle w:val="Heading1"/>
        <w:spacing w:after="120" w:before="360"/>
      </w:pPr>
      <w:r>
        <w:rPr>
          <w:rFonts w:ascii="Arial" w:cs="Arial" w:eastAsia="Arial" w:hAnsi="Arial"/>
          <w:b/>
          <w:bCs/>
          <w:color w:val="1F3864"/>
          <w:sz w:val="26"/>
          <w:szCs w:val="26"/>
        </w:rPr>
        <w:t xml:space="preserve">Track 3 — External Facts (No Counsel Action Required)</w:t>
      </w:r>
    </w:p>
    <w:p>
      <w:pPr>
        <w:spacing w:after="80" w:before="80"/>
      </w:pPr>
      <w:r>
        <w:rPr>
          <w:rFonts w:ascii="Arial" w:cs="Arial" w:eastAsia="Arial" w:hAnsi="Arial"/>
          <w:sz w:val="20"/>
          <w:szCs w:val="20"/>
        </w:rPr>
        <w:t xml:space="preserve">These items are not counsel questions. They require specific conversations or decisions from leadership and operations. Included here for completeness.</w:t>
      </w:r>
    </w:p>
    <w:p>
      <w:pPr>
        <w:spacing w:after="0" w:before="120"/>
      </w:pPr>
      <w:r>
        <w:t xml:space="preserve"/>
      </w:r>
    </w:p>
    <w:p>
      <w:pPr>
        <w:spacing w:after="40" w:before="120"/>
      </w:pPr>
      <w:r>
        <w:rPr>
          <w:rFonts w:ascii="Arial" w:cs="Arial" w:eastAsia="Arial" w:hAnsi="Arial"/>
          <w:b/>
          <w:bCs/>
          <w:color w:val="1F3864"/>
          <w:sz w:val="20"/>
          <w:szCs w:val="20"/>
        </w:rPr>
        <w:t xml:space="preserve">Q14 — MA DTA Written Authorization</w:t>
      </w:r>
    </w:p>
    <w:p>
      <w:pPr>
        <w:spacing w:after="80" w:before="80"/>
      </w:pPr>
      <w:r>
        <w:rPr>
          <w:rFonts w:ascii="Arial" w:cs="Arial" w:eastAsia="Arial" w:hAnsi="Arial"/>
          <w:sz w:val="20"/>
          <w:szCs w:val="20"/>
        </w:rPr>
        <w:t xml:space="preserve">The path to closing this is direct outreach to MA DTA (Commissioner Cole’s office). The current posture — deep-link handoff to DTA Connect rather than submitting on behalf of users — may not require formal authorization, but that determination has not been confirmed in writing. Engineering cannot close this; it requires a conversation with DTA operations or legal.</w:t>
      </w:r>
    </w:p>
    <w:p>
      <w:pPr>
        <w:spacing w:after="0" w:before="100"/>
      </w:pPr>
      <w:r>
        <w:t xml:space="preserve"/>
      </w:r>
    </w:p>
    <w:p>
      <w:pPr>
        <w:spacing w:after="40" w:before="120"/>
      </w:pPr>
      <w:r>
        <w:rPr>
          <w:rFonts w:ascii="Arial" w:cs="Arial" w:eastAsia="Arial" w:hAnsi="Arial"/>
          <w:b/>
          <w:bCs/>
          <w:color w:val="1F3864"/>
          <w:sz w:val="20"/>
          <w:szCs w:val="20"/>
        </w:rPr>
        <w:t xml:space="preserve">Q15 — SOC 2 Status</w:t>
      </w:r>
    </w:p>
    <w:p>
      <w:pPr>
        <w:spacing w:after="80" w:before="80"/>
      </w:pPr>
      <w:r>
        <w:rPr>
          <w:rFonts w:ascii="Arial" w:cs="Arial" w:eastAsia="Arial" w:hAnsi="Arial"/>
          <w:sz w:val="20"/>
          <w:szCs w:val="20"/>
        </w:rPr>
        <w:t xml:space="preserve">If no auditor has been engaged, the disclosure state for beta is “SOC 2 assessment not initiated.” If an auditor has been engaged, the disclosure is “SOC 2 Type I in progress.” This is a factual question for whoever manages Civica’s security posture.</w:t>
      </w:r>
    </w:p>
    <w:p>
      <w:pPr>
        <w:spacing w:after="0" w:before="100"/>
      </w:pPr>
      <w:r>
        <w:t xml:space="preserve"/>
      </w:r>
    </w:p>
    <w:p>
      <w:pPr>
        <w:spacing w:after="40" w:before="120"/>
      </w:pPr>
      <w:r>
        <w:rPr>
          <w:rFonts w:ascii="Arial" w:cs="Arial" w:eastAsia="Arial" w:hAnsi="Arial"/>
          <w:b/>
          <w:bCs/>
          <w:color w:val="1F3864"/>
          <w:sz w:val="20"/>
          <w:szCs w:val="20"/>
        </w:rPr>
        <w:t xml:space="preserve">Q19 — Source-Citation Signoff</w:t>
      </w:r>
    </w:p>
    <w:p>
      <w:pPr>
        <w:spacing w:after="80" w:before="80"/>
      </w:pPr>
      <w:r>
        <w:rPr>
          <w:rFonts w:ascii="Arial" w:cs="Arial" w:eastAsia="Arial" w:hAnsi="Arial"/>
          <w:sz w:val="20"/>
          <w:szCs w:val="20"/>
        </w:rPr>
        <w:t xml:space="preserve">docs/SNAP-source-citation-signoff.md rows 5–8 (FY26 federal benefit-math values: poverty line, TFP, deductions) require a policy-lead signature confirming the source citation is accurate. This is not a legal review — it is a factual confirmation by whoever owns policy accuracy of the estimator. These rows gate the MA beta, App Store review, and any external pilot using the estimator.</w:t>
      </w:r>
    </w:p>
    <w:p>
      <w:pPr>
        <w:spacing w:after="0" w:before="240"/>
      </w:pPr>
      <w:r>
        <w:t xml:space="preserve"/>
      </w:r>
    </w:p>
    <w:p>
      <w:pPr>
        <w:pStyle w:val="Heading1"/>
        <w:spacing w:after="120" w:before="360"/>
      </w:pPr>
      <w:r>
        <w:rPr>
          <w:rFonts w:ascii="Arial" w:cs="Arial" w:eastAsia="Arial" w:hAnsi="Arial"/>
          <w:b/>
          <w:bCs/>
          <w:color w:val="1F3864"/>
          <w:sz w:val="26"/>
          <w:szCs w:val="26"/>
        </w:rPr>
        <w:t xml:space="preserve">Summary — What Counsel Needs to Return</w:t>
      </w:r>
    </w:p>
    <w:p>
      <w:pPr>
        <w:spacing w:after="80" w:before="80"/>
      </w:pPr>
      <w:r>
        <w:rPr>
          <w:rFonts w:ascii="Arial" w:cs="Arial" w:eastAsia="Arial" w:hAnsi="Arial"/>
          <w:sz w:val="20"/>
          <w:szCs w:val="20"/>
        </w:rPr>
        <w:t xml:space="preserve">The following table is the complete checklist. Each row is an independent deliverable; partial responses ship incrementally.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counsel returns</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Urgency /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Q1 — Tribal strings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Approved EN+ES copy or redline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Blocks 1.3 feature 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Q3 — 9 copy strings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Table with per-row approve/redline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Each row ships on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Q4 — Noncitizen disclosure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Approved copy + answers to (a)(b)(c)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Blocks noncitizen screen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Q5a — LLM retention policy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Signed §10 block in CIVICA-POL-001 or redline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Blocks policy commitment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Q5b — Distress gate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Trigger criteria + gate copy approved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Enables built gate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Q6 — §277.4 pricing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Yes/no on obligation + records if 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Determines further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Q12 — Stale-rules posture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Disclaimer adequate vs. gate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Determines code path</w:t>
            </w:r>
          </w:p>
        </w:tc>
      </w:tr>
    </w:tbl>
    <w:p>
      <w:pPr>
        <w:spacing w:after="0" w:before="160"/>
      </w:pPr>
      <w:r>
        <w:t xml:space="preserve"/>
      </w:r>
    </w:p>
    <w:p>
      <w:pPr>
        <w:pBdr>
          <w:top w:val="single" w:color="CCCCCC" w:sz="4" w:space="6"/>
        </w:pBdr>
        <w:spacing w:after="0" w:before="0"/>
      </w:pPr>
      <w:r>
        <w:rPr>
          <w:rFonts w:ascii="Arial" w:cs="Arial" w:eastAsia="Arial" w:hAnsi="Arial"/>
          <w:i/>
          <w:iCs/>
          <w:color w:val="888888"/>
          <w:sz w:val="17"/>
          <w:szCs w:val="17"/>
        </w:rPr>
        <w:t xml:space="preserve">Questions: contact Engineering / Product. This document is confidential and prepared in anticipation of legal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888888"/>
        <w:sz w:val="16"/>
        <w:szCs w:val="16"/>
      </w:rPr>
      <w:t xml:space="preserve">CIVICA — CONFIDENTIAL</w:t>
    </w:r>
    <w:r>
      <w:rPr>
        <w:rFonts w:ascii="Arial" w:cs="Arial" w:eastAsia="Arial" w:hAnsi="Arial"/>
        <w:color w:val="888888"/>
        <w:sz w:val="16"/>
        <w:szCs w:val="16"/>
      </w:rPr>
      <w:t xml:space="preserve">  |  OBBBA / 7 CFR 277.4 Compliance — Counsel Review Brief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8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2026-05-19T17:26:50.476Z</dcterms:created>
  <dcterms:modified xsi:type="dcterms:W3CDTF">2026-05-19T17:26:50.477Z</dcterms:modified>
</cp:coreProperties>
</file>

<file path=docProps/custom.xml><?xml version="1.0" encoding="utf-8"?>
<Properties xmlns="http://schemas.openxmlformats.org/officeDocument/2006/custom-properties" xmlns:vt="http://schemas.openxmlformats.org/officeDocument/2006/docPropsVTypes"/>
</file>