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B8304" w14:textId="6BC7FC06" w:rsidR="002B79F1" w:rsidRDefault="0061648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Name: </w:t>
      </w:r>
      <w:proofErr w:type="spellStart"/>
      <w:r w:rsidR="008565C3">
        <w:rPr>
          <w:rFonts w:ascii="Arial" w:eastAsia="Arial" w:hAnsi="Arial" w:cs="Arial"/>
          <w:color w:val="FF00FF"/>
        </w:rPr>
        <w:t>Matthew_Kwong</w:t>
      </w:r>
      <w:proofErr w:type="spellEnd"/>
    </w:p>
    <w:p w14:paraId="57BDF71C" w14:textId="77777777" w:rsidR="002B79F1" w:rsidRDefault="0061648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Assessment: </w:t>
      </w:r>
      <w:r>
        <w:rPr>
          <w:rFonts w:ascii="Arial" w:eastAsia="Arial" w:hAnsi="Arial" w:cs="Arial"/>
          <w:color w:val="FF00FF"/>
        </w:rPr>
        <w:t>[grade here]</w:t>
      </w:r>
    </w:p>
    <w:p w14:paraId="4B91A864" w14:textId="77777777" w:rsidR="002B79F1" w:rsidRDefault="0061648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Comments:</w:t>
      </w:r>
    </w:p>
    <w:p w14:paraId="416BB959" w14:textId="61DF448B" w:rsidR="002B79F1" w:rsidRDefault="00133A95">
      <w:pPr>
        <w:rPr>
          <w:rFonts w:ascii="Arial" w:eastAsia="Arial" w:hAnsi="Arial" w:cs="Arial"/>
        </w:rPr>
      </w:pPr>
      <w:bookmarkStart w:id="0" w:name="_gjdgxs" w:colFirst="0" w:colLast="0"/>
      <w:bookmarkEnd w:id="0"/>
      <w:r w:rsidRPr="00133A95">
        <w:rPr>
          <w:rFonts w:ascii="AppleSystemUIFont" w:hAnsi="AppleSystemUIFont" w:cs="AppleSystemUIFont"/>
          <w:sz w:val="24"/>
          <w:szCs w:val="24"/>
        </w:rPr>
        <w:t xml:space="preserve">You have a good summary and response. However, your analysis has room for improvement in making a clear claim about the Expertise lens and providing an explanation of the examples. Your analysis was focused on </w:t>
      </w:r>
      <w:proofErr w:type="spellStart"/>
      <w:r w:rsidRPr="00133A95">
        <w:rPr>
          <w:rFonts w:ascii="AppleSystemUIFont" w:hAnsi="AppleSystemUIFont" w:cs="AppleSystemUIFont"/>
          <w:sz w:val="24"/>
          <w:szCs w:val="24"/>
        </w:rPr>
        <w:t>Sonne’s</w:t>
      </w:r>
      <w:proofErr w:type="spellEnd"/>
      <w:r w:rsidRPr="00133A95">
        <w:rPr>
          <w:rFonts w:ascii="AppleSystemUIFont" w:hAnsi="AppleSystemUIFont" w:cs="AppleSystemUIFont"/>
          <w:sz w:val="24"/>
          <w:szCs w:val="24"/>
        </w:rPr>
        <w:t xml:space="preserve"> expertise, not in the different expertise that the author mention in the article</w:t>
      </w:r>
      <w:bookmarkStart w:id="1" w:name="_GoBack"/>
      <w:bookmarkEnd w:id="1"/>
      <w:r>
        <w:rPr>
          <w:rFonts w:ascii="AppleSystemUIFont" w:hAnsi="AppleSystemUIFont" w:cs="AppleSystemUIFont"/>
          <w:sz w:val="24"/>
          <w:szCs w:val="24"/>
        </w:rPr>
        <w:t>. If you have any questions, please contact us during office hours, TA sessions, or by email.</w:t>
      </w:r>
    </w:p>
    <w:p w14:paraId="5CB26997" w14:textId="77777777" w:rsidR="002B79F1" w:rsidRDefault="002B79F1">
      <w:pPr>
        <w:rPr>
          <w:rFonts w:ascii="Arial" w:eastAsia="Arial" w:hAnsi="Arial" w:cs="Arial"/>
        </w:rPr>
      </w:pPr>
    </w:p>
    <w:tbl>
      <w:tblPr>
        <w:tblStyle w:val="a"/>
        <w:tblW w:w="9346" w:type="dxa"/>
        <w:tblLayout w:type="fixed"/>
        <w:tblLook w:val="0400" w:firstRow="0" w:lastRow="0" w:firstColumn="0" w:lastColumn="0" w:noHBand="0" w:noVBand="1"/>
      </w:tblPr>
      <w:tblGrid>
        <w:gridCol w:w="1125"/>
        <w:gridCol w:w="1365"/>
        <w:gridCol w:w="1826"/>
        <w:gridCol w:w="5030"/>
      </w:tblGrid>
      <w:tr w:rsidR="002B79F1" w14:paraId="50495A38" w14:textId="77777777">
        <w:trPr>
          <w:trHeight w:val="358"/>
        </w:trPr>
        <w:tc>
          <w:tcPr>
            <w:tcW w:w="1125" w:type="dxa"/>
            <w:tcBorders>
              <w:top w:val="single" w:sz="8" w:space="0" w:color="759AA5"/>
              <w:left w:val="single" w:sz="8" w:space="0" w:color="759AA5"/>
              <w:bottom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4389B307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Section</w:t>
            </w:r>
          </w:p>
        </w:tc>
        <w:tc>
          <w:tcPr>
            <w:tcW w:w="1365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14A5DFF9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Criterion</w:t>
            </w:r>
          </w:p>
        </w:tc>
        <w:tc>
          <w:tcPr>
            <w:tcW w:w="1826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</w:tcPr>
          <w:p w14:paraId="3A8E116C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Assessment</w:t>
            </w:r>
          </w:p>
        </w:tc>
        <w:tc>
          <w:tcPr>
            <w:tcW w:w="5030" w:type="dxa"/>
            <w:tcBorders>
              <w:top w:val="single" w:sz="8" w:space="0" w:color="759AA5"/>
              <w:left w:val="nil"/>
              <w:bottom w:val="single" w:sz="8" w:space="0" w:color="759AA5"/>
              <w:right w:val="single" w:sz="8" w:space="0" w:color="759AA5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773F3E63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2B79F1" w14:paraId="4D70C87C" w14:textId="77777777">
        <w:trPr>
          <w:trHeight w:val="179"/>
        </w:trPr>
        <w:tc>
          <w:tcPr>
            <w:tcW w:w="1125" w:type="dxa"/>
            <w:tcBorders>
              <w:top w:val="single" w:sz="8" w:space="0" w:color="759AA5"/>
              <w:left w:val="single" w:sz="8" w:space="0" w:color="759AA5"/>
              <w:bottom w:val="nil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2916F2BB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1365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706AC859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Objectivity</w:t>
            </w:r>
          </w:p>
        </w:tc>
        <w:tc>
          <w:tcPr>
            <w:tcW w:w="1826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</w:tcPr>
          <w:p w14:paraId="4B94E50F" w14:textId="17B29881" w:rsidR="002B79F1" w:rsidRDefault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30" w:type="dxa"/>
            <w:tcBorders>
              <w:top w:val="single" w:sz="8" w:space="0" w:color="759AA5"/>
              <w:left w:val="nil"/>
              <w:bottom w:val="single" w:sz="8" w:space="0" w:color="759AA5"/>
              <w:right w:val="single" w:sz="8" w:space="0" w:color="759AA5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2A244B7D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color w:val="008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8000"/>
                <w:sz w:val="24"/>
                <w:szCs w:val="24"/>
              </w:rPr>
              <w:t>The summary is completely objective.</w:t>
            </w:r>
          </w:p>
        </w:tc>
      </w:tr>
      <w:tr w:rsidR="002B79F1" w14:paraId="07786BF2" w14:textId="77777777">
        <w:trPr>
          <w:trHeight w:val="291"/>
        </w:trPr>
        <w:tc>
          <w:tcPr>
            <w:tcW w:w="1125" w:type="dxa"/>
            <w:tcBorders>
              <w:top w:val="nil"/>
              <w:left w:val="single" w:sz="8" w:space="0" w:color="759AA5"/>
              <w:bottom w:val="nil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7AC82139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6AAF824A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Originality</w:t>
            </w:r>
          </w:p>
        </w:tc>
        <w:tc>
          <w:tcPr>
            <w:tcW w:w="1826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</w:tcPr>
          <w:p w14:paraId="6A263103" w14:textId="3991529F" w:rsidR="002B79F1" w:rsidRDefault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30" w:type="dxa"/>
            <w:tcBorders>
              <w:top w:val="single" w:sz="8" w:space="0" w:color="759AA5"/>
              <w:left w:val="nil"/>
              <w:bottom w:val="single" w:sz="8" w:space="0" w:color="759AA5"/>
              <w:right w:val="single" w:sz="8" w:space="0" w:color="759AA5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56334204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color w:val="008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8000"/>
                <w:sz w:val="24"/>
                <w:szCs w:val="24"/>
              </w:rPr>
              <w:t>The summary is in your own words (no quotations).</w:t>
            </w:r>
          </w:p>
        </w:tc>
      </w:tr>
      <w:tr w:rsidR="002B79F1" w14:paraId="70378AD5" w14:textId="77777777">
        <w:trPr>
          <w:trHeight w:val="179"/>
        </w:trPr>
        <w:tc>
          <w:tcPr>
            <w:tcW w:w="1125" w:type="dxa"/>
            <w:tcBorders>
              <w:top w:val="nil"/>
              <w:left w:val="single" w:sz="8" w:space="0" w:color="759AA5"/>
              <w:bottom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31D1EA3F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5D1449BA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1826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</w:tcPr>
          <w:p w14:paraId="6E5D526A" w14:textId="171B7BBA" w:rsidR="002B79F1" w:rsidRDefault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30" w:type="dxa"/>
            <w:tcBorders>
              <w:top w:val="single" w:sz="8" w:space="0" w:color="759AA5"/>
              <w:left w:val="nil"/>
              <w:bottom w:val="single" w:sz="8" w:space="0" w:color="759AA5"/>
              <w:right w:val="single" w:sz="8" w:space="0" w:color="759AA5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0D2F914A" w14:textId="407A1CC3" w:rsidR="00133A95" w:rsidRDefault="0061648C" w:rsidP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8000"/>
                <w:sz w:val="24"/>
                <w:szCs w:val="24"/>
              </w:rPr>
              <w:t>The summary is 250-300 words.</w:t>
            </w:r>
          </w:p>
          <w:p w14:paraId="23E701AA" w14:textId="14663982" w:rsidR="002B79F1" w:rsidRDefault="002B7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2" w:hanging="432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</w:p>
        </w:tc>
      </w:tr>
      <w:tr w:rsidR="002B79F1" w14:paraId="48A3F814" w14:textId="77777777">
        <w:trPr>
          <w:trHeight w:val="234"/>
        </w:trPr>
        <w:tc>
          <w:tcPr>
            <w:tcW w:w="1125" w:type="dxa"/>
            <w:tcBorders>
              <w:top w:val="single" w:sz="8" w:space="0" w:color="759AA5"/>
              <w:left w:val="single" w:sz="8" w:space="0" w:color="759AA5"/>
              <w:bottom w:val="nil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1DD5F070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1365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3375B142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Focus</w:t>
            </w:r>
          </w:p>
        </w:tc>
        <w:tc>
          <w:tcPr>
            <w:tcW w:w="1826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</w:tcPr>
          <w:p w14:paraId="451E1023" w14:textId="27AE2EB9" w:rsidR="002B79F1" w:rsidRDefault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30" w:type="dxa"/>
            <w:tcBorders>
              <w:top w:val="single" w:sz="8" w:space="0" w:color="759AA5"/>
              <w:left w:val="nil"/>
              <w:bottom w:val="single" w:sz="8" w:space="0" w:color="759AA5"/>
              <w:right w:val="single" w:sz="8" w:space="0" w:color="759AA5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04DDB636" w14:textId="6043266D" w:rsidR="002B79F1" w:rsidRDefault="0061648C" w:rsidP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8000"/>
                <w:sz w:val="24"/>
                <w:szCs w:val="24"/>
              </w:rPr>
              <w:t>The response is your own reactions to or thoughts about the article.</w:t>
            </w:r>
            <w:r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  <w:t xml:space="preserve"> </w:t>
            </w:r>
          </w:p>
        </w:tc>
      </w:tr>
      <w:tr w:rsidR="002B79F1" w14:paraId="6C958CBC" w14:textId="77777777">
        <w:trPr>
          <w:trHeight w:val="179"/>
        </w:trPr>
        <w:tc>
          <w:tcPr>
            <w:tcW w:w="1125" w:type="dxa"/>
            <w:tcBorders>
              <w:top w:val="nil"/>
              <w:left w:val="single" w:sz="8" w:space="0" w:color="759AA5"/>
              <w:bottom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5570F586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698802D9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1826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</w:tcPr>
          <w:p w14:paraId="21E231A0" w14:textId="0B261EC9" w:rsidR="002B79F1" w:rsidRDefault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30" w:type="dxa"/>
            <w:tcBorders>
              <w:top w:val="single" w:sz="8" w:space="0" w:color="759AA5"/>
              <w:left w:val="nil"/>
              <w:bottom w:val="single" w:sz="8" w:space="0" w:color="759AA5"/>
              <w:right w:val="single" w:sz="8" w:space="0" w:color="759AA5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7D968516" w14:textId="1AE21905" w:rsidR="00133A95" w:rsidRDefault="0061648C" w:rsidP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8000"/>
                <w:sz w:val="24"/>
                <w:szCs w:val="24"/>
              </w:rPr>
              <w:t>The response is 250-300 words.</w:t>
            </w:r>
          </w:p>
          <w:p w14:paraId="52E66AA1" w14:textId="5077A9CF" w:rsidR="002B79F1" w:rsidRDefault="002B7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2" w:hanging="432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</w:p>
        </w:tc>
      </w:tr>
      <w:tr w:rsidR="002B79F1" w14:paraId="14788584" w14:textId="77777777">
        <w:trPr>
          <w:trHeight w:val="297"/>
        </w:trPr>
        <w:tc>
          <w:tcPr>
            <w:tcW w:w="1125" w:type="dxa"/>
            <w:tcBorders>
              <w:top w:val="single" w:sz="8" w:space="0" w:color="759AA5"/>
              <w:left w:val="single" w:sz="8" w:space="0" w:color="759AA5"/>
              <w:bottom w:val="nil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4044F7DE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Analysis</w:t>
            </w:r>
          </w:p>
        </w:tc>
        <w:tc>
          <w:tcPr>
            <w:tcW w:w="1365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30E5C4F5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Claim</w:t>
            </w:r>
          </w:p>
        </w:tc>
        <w:tc>
          <w:tcPr>
            <w:tcW w:w="1826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</w:tcPr>
          <w:p w14:paraId="79C1C584" w14:textId="7EB5CCFD" w:rsidR="002B79F1" w:rsidRDefault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30" w:type="dxa"/>
            <w:tcBorders>
              <w:top w:val="single" w:sz="8" w:space="0" w:color="759AA5"/>
              <w:left w:val="nil"/>
              <w:bottom w:val="single" w:sz="8" w:space="0" w:color="759AA5"/>
              <w:right w:val="single" w:sz="8" w:space="0" w:color="759AA5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19C342FB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color w:val="008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8000"/>
                <w:sz w:val="24"/>
                <w:szCs w:val="24"/>
              </w:rPr>
              <w:t>The analysis makes a claim about the article based on the specific lens.</w:t>
            </w:r>
          </w:p>
          <w:p w14:paraId="72ED4B8E" w14:textId="1F85FE3F" w:rsidR="002B79F1" w:rsidRDefault="002B7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2" w:hanging="432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</w:p>
        </w:tc>
      </w:tr>
      <w:tr w:rsidR="002B79F1" w14:paraId="7FCC4554" w14:textId="77777777">
        <w:trPr>
          <w:trHeight w:val="241"/>
        </w:trPr>
        <w:tc>
          <w:tcPr>
            <w:tcW w:w="1125" w:type="dxa"/>
            <w:tcBorders>
              <w:top w:val="nil"/>
              <w:left w:val="single" w:sz="8" w:space="0" w:color="759AA5"/>
              <w:bottom w:val="nil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6EA6E767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14083B14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Support</w:t>
            </w:r>
          </w:p>
        </w:tc>
        <w:tc>
          <w:tcPr>
            <w:tcW w:w="1826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</w:tcPr>
          <w:p w14:paraId="1ACF2E08" w14:textId="10B8F0CF" w:rsidR="002B79F1" w:rsidRDefault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030" w:type="dxa"/>
            <w:tcBorders>
              <w:top w:val="single" w:sz="8" w:space="0" w:color="759AA5"/>
              <w:left w:val="nil"/>
              <w:bottom w:val="single" w:sz="8" w:space="0" w:color="759AA5"/>
              <w:right w:val="single" w:sz="8" w:space="0" w:color="759AA5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0312B592" w14:textId="21FB01DA" w:rsidR="002B79F1" w:rsidRDefault="0061648C" w:rsidP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2" w:hanging="432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  <w:t>The analysis sometimes supports the claim with examples or short quotations from the article.</w:t>
            </w:r>
          </w:p>
        </w:tc>
      </w:tr>
      <w:tr w:rsidR="002B79F1" w14:paraId="0FE58508" w14:textId="77777777">
        <w:trPr>
          <w:trHeight w:val="358"/>
        </w:trPr>
        <w:tc>
          <w:tcPr>
            <w:tcW w:w="1125" w:type="dxa"/>
            <w:tcBorders>
              <w:top w:val="nil"/>
              <w:left w:val="single" w:sz="8" w:space="0" w:color="759AA5"/>
              <w:bottom w:val="nil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5A8C968F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5E78E435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Explanation</w:t>
            </w:r>
          </w:p>
        </w:tc>
        <w:tc>
          <w:tcPr>
            <w:tcW w:w="1826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</w:tcPr>
          <w:p w14:paraId="5ED7B38C" w14:textId="3C9B331C" w:rsidR="002B79F1" w:rsidRDefault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030" w:type="dxa"/>
            <w:tcBorders>
              <w:top w:val="single" w:sz="8" w:space="0" w:color="759AA5"/>
              <w:left w:val="nil"/>
              <w:bottom w:val="single" w:sz="8" w:space="0" w:color="759AA5"/>
              <w:right w:val="single" w:sz="8" w:space="0" w:color="759AA5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41941ADE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2" w:hanging="432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  <w:t>The analysis sometimes explains how the examples or quotations support the claim.</w:t>
            </w:r>
          </w:p>
          <w:p w14:paraId="69D79E6C" w14:textId="29048AEC" w:rsidR="002B79F1" w:rsidRDefault="002B7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2" w:hanging="432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</w:p>
        </w:tc>
      </w:tr>
      <w:tr w:rsidR="002B79F1" w14:paraId="7FBBC02B" w14:textId="77777777">
        <w:trPr>
          <w:trHeight w:val="179"/>
        </w:trPr>
        <w:tc>
          <w:tcPr>
            <w:tcW w:w="1125" w:type="dxa"/>
            <w:tcBorders>
              <w:top w:val="nil"/>
              <w:left w:val="single" w:sz="8" w:space="0" w:color="759AA5"/>
              <w:bottom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732D37AE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365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28BDFBC2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1826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</w:tcPr>
          <w:p w14:paraId="1B700A89" w14:textId="2E5239BB" w:rsidR="002B79F1" w:rsidRDefault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30" w:type="dxa"/>
            <w:tcBorders>
              <w:top w:val="single" w:sz="8" w:space="0" w:color="759AA5"/>
              <w:left w:val="nil"/>
              <w:bottom w:val="single" w:sz="8" w:space="0" w:color="759AA5"/>
              <w:right w:val="single" w:sz="8" w:space="0" w:color="759AA5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3450E111" w14:textId="523BAD4B" w:rsidR="00133A95" w:rsidRDefault="0061648C" w:rsidP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8000"/>
                <w:sz w:val="24"/>
                <w:szCs w:val="24"/>
              </w:rPr>
              <w:t>The analysis is 250-300 words.</w:t>
            </w:r>
          </w:p>
          <w:p w14:paraId="61B1DEC3" w14:textId="237D850A" w:rsidR="002B79F1" w:rsidRDefault="002B7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2" w:hanging="432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</w:p>
        </w:tc>
      </w:tr>
      <w:tr w:rsidR="002B79F1" w14:paraId="60D8B848" w14:textId="77777777">
        <w:trPr>
          <w:trHeight w:val="358"/>
        </w:trPr>
        <w:tc>
          <w:tcPr>
            <w:tcW w:w="1125" w:type="dxa"/>
            <w:vMerge w:val="restart"/>
            <w:tcBorders>
              <w:top w:val="single" w:sz="8" w:space="0" w:color="759AA5"/>
              <w:left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60C82FF3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SRA as a whole</w:t>
            </w:r>
          </w:p>
          <w:p w14:paraId="7AE460B4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265EDB05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Clarity</w:t>
            </w:r>
          </w:p>
        </w:tc>
        <w:tc>
          <w:tcPr>
            <w:tcW w:w="1826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</w:tcPr>
          <w:p w14:paraId="20050B96" w14:textId="567408E3" w:rsidR="002B79F1" w:rsidRDefault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30" w:type="dxa"/>
            <w:tcBorders>
              <w:top w:val="single" w:sz="8" w:space="0" w:color="759AA5"/>
              <w:left w:val="nil"/>
              <w:bottom w:val="single" w:sz="8" w:space="0" w:color="759AA5"/>
              <w:right w:val="single" w:sz="8" w:space="0" w:color="759AA5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43850334" w14:textId="3C85C2DC" w:rsidR="002B79F1" w:rsidRDefault="0061648C" w:rsidP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8000"/>
                <w:sz w:val="24"/>
                <w:szCs w:val="24"/>
              </w:rPr>
              <w:t>The writing throughout is clear and unambiguous</w:t>
            </w:r>
          </w:p>
        </w:tc>
      </w:tr>
      <w:tr w:rsidR="002B79F1" w14:paraId="6482E16E" w14:textId="77777777">
        <w:trPr>
          <w:trHeight w:val="358"/>
        </w:trPr>
        <w:tc>
          <w:tcPr>
            <w:tcW w:w="1125" w:type="dxa"/>
            <w:vMerge/>
            <w:tcBorders>
              <w:top w:val="single" w:sz="8" w:space="0" w:color="759AA5"/>
              <w:left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75228C8D" w14:textId="77777777" w:rsidR="002B79F1" w:rsidRDefault="002B7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8" w:space="0" w:color="759AA5"/>
              <w:left w:val="nil"/>
              <w:bottom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4976FABA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Attributions</w:t>
            </w:r>
          </w:p>
        </w:tc>
        <w:tc>
          <w:tcPr>
            <w:tcW w:w="1826" w:type="dxa"/>
            <w:tcBorders>
              <w:top w:val="single" w:sz="8" w:space="0" w:color="759AA5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47D94FF" w14:textId="6C30C346" w:rsidR="002B79F1" w:rsidRDefault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30" w:type="dxa"/>
            <w:tcBorders>
              <w:top w:val="single" w:sz="8" w:space="0" w:color="759AA5"/>
              <w:left w:val="nil"/>
              <w:bottom w:val="single" w:sz="4" w:space="0" w:color="000000"/>
              <w:right w:val="single" w:sz="8" w:space="0" w:color="759AA5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10C9FC44" w14:textId="0A4AA1E0" w:rsidR="00133A95" w:rsidRDefault="0061648C" w:rsidP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8000"/>
                <w:sz w:val="24"/>
                <w:szCs w:val="24"/>
              </w:rPr>
              <w:t>It is clear at all points which ideas are yours and whom other ideas are from.</w:t>
            </w:r>
          </w:p>
          <w:p w14:paraId="2B43D659" w14:textId="729135F4" w:rsidR="002B79F1" w:rsidRDefault="002B7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2" w:hanging="432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</w:p>
        </w:tc>
      </w:tr>
      <w:tr w:rsidR="002B79F1" w14:paraId="586AB715" w14:textId="77777777">
        <w:trPr>
          <w:trHeight w:val="1342"/>
        </w:trPr>
        <w:tc>
          <w:tcPr>
            <w:tcW w:w="1125" w:type="dxa"/>
            <w:vMerge/>
            <w:tcBorders>
              <w:top w:val="single" w:sz="8" w:space="0" w:color="759AA5"/>
              <w:left w:val="single" w:sz="8" w:space="0" w:color="759AA5"/>
              <w:right w:val="nil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0C0F35A5" w14:textId="77777777" w:rsidR="002B79F1" w:rsidRDefault="002B7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8" w:space="0" w:color="759AA5"/>
              <w:left w:val="nil"/>
              <w:bottom w:val="single" w:sz="8" w:space="0" w:color="759AA5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3E89B802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Professionalism</w:t>
            </w:r>
          </w:p>
        </w:tc>
        <w:tc>
          <w:tcPr>
            <w:tcW w:w="18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464FFFD" w14:textId="1697AD94" w:rsidR="002B79F1" w:rsidRDefault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9" w:type="dxa"/>
              <w:bottom w:w="0" w:type="dxa"/>
              <w:right w:w="89" w:type="dxa"/>
            </w:tcMar>
          </w:tcPr>
          <w:p w14:paraId="71BD6FE3" w14:textId="77777777" w:rsidR="002B79F1" w:rsidRDefault="0061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color w:val="008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8000"/>
                <w:sz w:val="24"/>
                <w:szCs w:val="24"/>
              </w:rPr>
              <w:t>The SRA is written and formatted according to instructions (i.e., with a heading and word count for each section).</w:t>
            </w:r>
          </w:p>
          <w:p w14:paraId="6F347048" w14:textId="47EE2895" w:rsidR="00133A95" w:rsidRDefault="0061648C" w:rsidP="00133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8000"/>
                <w:sz w:val="24"/>
                <w:szCs w:val="24"/>
              </w:rPr>
              <w:t>The SRA has been spell checked.</w:t>
            </w:r>
          </w:p>
          <w:p w14:paraId="10F3149E" w14:textId="25C03769" w:rsidR="002B79F1" w:rsidRDefault="002B7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32" w:hanging="432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</w:p>
        </w:tc>
      </w:tr>
    </w:tbl>
    <w:p w14:paraId="10FE77A0" w14:textId="77777777" w:rsidR="002B79F1" w:rsidRDefault="002B79F1">
      <w:pPr>
        <w:rPr>
          <w:rFonts w:ascii="Arial" w:eastAsia="Arial" w:hAnsi="Arial" w:cs="Arial"/>
        </w:rPr>
      </w:pPr>
    </w:p>
    <w:sectPr w:rsidR="002B79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0DF05" w14:textId="77777777" w:rsidR="00D4299D" w:rsidRDefault="00D4299D" w:rsidP="008C5DBF">
      <w:pPr>
        <w:spacing w:before="0" w:after="0"/>
      </w:pPr>
      <w:r>
        <w:separator/>
      </w:r>
    </w:p>
  </w:endnote>
  <w:endnote w:type="continuationSeparator" w:id="0">
    <w:p w14:paraId="57823276" w14:textId="77777777" w:rsidR="00D4299D" w:rsidRDefault="00D4299D" w:rsidP="008C5DB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exie Readable">
    <w:altName w:val="Cambri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3D84E" w14:textId="77777777" w:rsidR="008C5DBF" w:rsidRDefault="008C5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498D2" w14:textId="77777777" w:rsidR="008C5DBF" w:rsidRDefault="008C5D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3C739" w14:textId="77777777" w:rsidR="008C5DBF" w:rsidRDefault="008C5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3538F" w14:textId="77777777" w:rsidR="00D4299D" w:rsidRDefault="00D4299D" w:rsidP="008C5DBF">
      <w:pPr>
        <w:spacing w:before="0" w:after="0"/>
      </w:pPr>
      <w:r>
        <w:separator/>
      </w:r>
    </w:p>
  </w:footnote>
  <w:footnote w:type="continuationSeparator" w:id="0">
    <w:p w14:paraId="03706E5E" w14:textId="77777777" w:rsidR="00D4299D" w:rsidRDefault="00D4299D" w:rsidP="008C5DB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57119" w14:textId="77777777" w:rsidR="008C5DBF" w:rsidRDefault="008C5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F3402" w14:textId="77777777" w:rsidR="008C5DBF" w:rsidRDefault="008C5D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31972" w14:textId="77777777" w:rsidR="008C5DBF" w:rsidRDefault="008C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9F1"/>
    <w:rsid w:val="00133A95"/>
    <w:rsid w:val="002B79F1"/>
    <w:rsid w:val="0061648C"/>
    <w:rsid w:val="008565C3"/>
    <w:rsid w:val="008C5DBF"/>
    <w:rsid w:val="00D4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FF1CF"/>
  <w15:docId w15:val="{2B06DF3C-903C-B943-A4EB-75C693AD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exie Readable" w:eastAsia="Lexie Readable" w:hAnsi="Lexie Readable" w:cs="Lexie Readable"/>
        <w:sz w:val="22"/>
        <w:szCs w:val="22"/>
        <w:lang w:val="en-US" w:eastAsia="en-US" w:bidi="ar-SA"/>
      </w:rPr>
    </w:rPrDefault>
    <w:pPrDefault>
      <w:pPr>
        <w:spacing w:before="180"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b/>
      <w:color w:val="000000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color w:val="008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20" w:after="120"/>
      <w:ind w:left="288" w:hanging="288"/>
      <w:outlineLvl w:val="4"/>
    </w:pPr>
    <w:rPr>
      <w:rFonts w:ascii="Calibri" w:eastAsia="Calibri" w:hAnsi="Calibri" w:cs="Calibri"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20" w:after="120"/>
      <w:ind w:left="288"/>
      <w:outlineLvl w:val="5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72" w:type="dxa"/>
        <w:bottom w:w="14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5DB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C5DBF"/>
  </w:style>
  <w:style w:type="paragraph" w:styleId="Footer">
    <w:name w:val="footer"/>
    <w:basedOn w:val="Normal"/>
    <w:link w:val="FooterChar"/>
    <w:uiPriority w:val="99"/>
    <w:unhideWhenUsed/>
    <w:rsid w:val="008C5DB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C5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Paulina Andrea Rojas Rojas</cp:lastModifiedBy>
  <cp:revision>3</cp:revision>
  <dcterms:created xsi:type="dcterms:W3CDTF">2020-03-03T03:19:00Z</dcterms:created>
  <dcterms:modified xsi:type="dcterms:W3CDTF">2020-03-03T03:31:00Z</dcterms:modified>
</cp:coreProperties>
</file>