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Rubric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5"/>
        <w:gridCol w:w="2745"/>
        <w:gridCol w:w="2715"/>
        <w:tblGridChange w:id="0">
          <w:tblGrid>
            <w:gridCol w:w="3555"/>
            <w:gridCol w:w="2745"/>
            <w:gridCol w:w="2715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Points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Earned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map that consists of a 2D array.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Hero class defined to specifications.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TownsPerson class defined to specifications.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an Armor class defined to specifications.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Weapon class defined to specifications.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Monster class defined to specifications.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Potion class defined to specifications.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printMap function.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Places each object in a unique random location on the map.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Has a game loop that reads in user input.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User input is error checked.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Determines if an object has been encountered.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Allows hero to use potion when walking on the map.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Townsperson_1 says a standard message until 2 monsters are killed.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Adds the armor object to the hero when speaking with the Townsperson.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Townsperson_2 says a standard message until 4 monsters are killed.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Adds weapon object to the hero after speaking with Townsperson.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When a monster is encountered, a battle ensues according to specifications.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4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When all objects have been interacted with and all monsters killed, shows an ending.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All objects are invisible until interacted with.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58585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585858"/>
                <w:sz w:val="30"/>
                <w:szCs w:val="30"/>
                <w:highlight w:val="white"/>
                <w:rtl w:val="0"/>
              </w:rPr>
              <w:t xml:space="preserve">Comments: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Good effort Dustin.</w:t>
            </w:r>
          </w:p>
        </w:tc>
      </w:tr>
    </w:tbl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Total:     </w:t>
        <w:tab/>
        <w:t xml:space="preserve">      33/33 = 100% = 20/20</w:t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