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005A9C"/>
          <w:sz w:val="56"/>
        </w:rPr>
        <w:t>Data-Driven Inventory Management</w:t>
      </w:r>
    </w:p>
    <w:p>
      <w:pPr>
        <w:jc w:val="center"/>
      </w:pPr>
      <w:r>
        <w:rPr>
          <w:color w:val="505050"/>
          <w:sz w:val="36"/>
        </w:rPr>
        <w:t>Methodology Report</w:t>
      </w:r>
    </w:p>
    <w:p/>
    <w:p>
      <w:pPr>
        <w:jc w:val="center"/>
      </w:pPr>
      <w:r>
        <w:rPr>
          <w:color w:val="646464"/>
          <w:sz w:val="28"/>
        </w:rPr>
        <w:t>SmartOp - Final Assignment</w:t>
        <w:br/>
        <w:t>KU Leuven</w:t>
      </w:r>
    </w:p>
    <w:p>
      <w:r>
        <w:br w:type="page"/>
      </w:r>
    </w:p>
    <w:p>
      <w:pPr>
        <w:pStyle w:val="Heading1"/>
      </w:pPr>
      <w:r>
        <w:t>Table of Contents</w:t>
      </w:r>
    </w:p>
    <w:p>
      <w:pPr>
        <w:spacing w:after="40"/>
      </w:pPr>
      <w:r>
        <w:t>1. Problem Overview</w:t>
      </w:r>
    </w:p>
    <w:p>
      <w:pPr>
        <w:spacing w:after="40"/>
      </w:pPr>
      <w:r>
        <w:t>2. Data Exploration</w:t>
      </w:r>
    </w:p>
    <w:p>
      <w:pPr>
        <w:spacing w:after="40"/>
      </w:pPr>
      <w:r>
        <w:t>3. Demand Forecasting Model</w:t>
      </w:r>
    </w:p>
    <w:p>
      <w:pPr>
        <w:spacing w:after="40"/>
      </w:pPr>
      <w:r>
        <w:t>4. Inventory Simulation Engine</w:t>
      </w:r>
    </w:p>
    <w:p>
      <w:pPr>
        <w:spacing w:after="40"/>
      </w:pPr>
      <w:r>
        <w:t>5. Ordering Policy</w:t>
      </w:r>
    </w:p>
    <w:p>
      <w:pPr>
        <w:spacing w:after="40"/>
      </w:pPr>
      <w:r>
        <w:t>6. Backtest Results</w:t>
      </w:r>
    </w:p>
    <w:p>
      <w:pPr>
        <w:spacing w:after="40"/>
      </w:pPr>
      <w:r>
        <w:t>7. How to Run the Live Game</w:t>
      </w:r>
    </w:p>
    <w:p>
      <w:pPr>
        <w:spacing w:after="40"/>
      </w:pPr>
      <w:r>
        <w:t>8. Key Design Decisions</w:t>
      </w:r>
    </w:p>
    <w:p>
      <w:r>
        <w:br w:type="page"/>
      </w:r>
    </w:p>
    <w:p>
      <w:pPr>
        <w:pStyle w:val="Heading1"/>
      </w:pPr>
      <w:r>
        <w:t>1. Problem Overview</w:t>
      </w:r>
    </w:p>
    <w:p>
      <w:r>
        <w:t>The objective of this assignment is to build a data-driven inventory ordering policy for a single perishable SKU (art_id: 2921141) in a retail store. The policy must decide how many units to order each period to minimize the total accumulated cost over a 26-period live simulation (July 2 - August 2, 2021, excluding Sundays and official holidays).</w:t>
      </w:r>
    </w:p>
    <w:p>
      <w:pPr>
        <w:pStyle w:val="Heading2"/>
      </w:pPr>
      <w:r>
        <w:t>1.1 Cost Structure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Value</w:t>
            </w:r>
          </w:p>
        </w:tc>
        <w:tc>
          <w:tcPr>
            <w:tcW w:type="dxa" w:w="2880"/>
          </w:tcPr>
          <w:p>
            <w:r>
              <w:rPr>
                <w:b/>
              </w:rPr>
              <w:t>Interpretation</w:t>
            </w:r>
          </w:p>
        </w:tc>
      </w:tr>
      <w:tr>
        <w:tc>
          <w:tcPr>
            <w:tcW w:type="dxa" w:w="2880"/>
          </w:tcPr>
          <w:p>
            <w:r>
              <w:t>Holding cost</w:t>
            </w:r>
          </w:p>
        </w:tc>
        <w:tc>
          <w:tcPr>
            <w:tcW w:type="dxa" w:w="2880"/>
          </w:tcPr>
          <w:p>
            <w:r>
              <w:t>1 per unit/period</w:t>
            </w:r>
          </w:p>
        </w:tc>
        <w:tc>
          <w:tcPr>
            <w:tcW w:type="dxa" w:w="2880"/>
          </w:tcPr>
          <w:p>
            <w:r>
              <w:t>Low cost for keeping inventory</w:t>
            </w:r>
          </w:p>
        </w:tc>
      </w:tr>
      <w:tr>
        <w:tc>
          <w:tcPr>
            <w:tcW w:type="dxa" w:w="2880"/>
          </w:tcPr>
          <w:p>
            <w:r>
              <w:t>Shortage cost</w:t>
            </w:r>
          </w:p>
        </w:tc>
        <w:tc>
          <w:tcPr>
            <w:tcW w:type="dxa" w:w="2880"/>
          </w:tcPr>
          <w:p>
            <w:r>
              <w:t>19 per unit</w:t>
            </w:r>
          </w:p>
        </w:tc>
        <w:tc>
          <w:tcPr>
            <w:tcW w:type="dxa" w:w="2880"/>
          </w:tcPr>
          <w:p>
            <w:r>
              <w:t>Very high penalty for lost sales</w:t>
            </w:r>
          </w:p>
        </w:tc>
      </w:tr>
      <w:tr>
        <w:tc>
          <w:tcPr>
            <w:tcW w:type="dxa" w:w="2880"/>
          </w:tcPr>
          <w:p>
            <w:r>
              <w:t>Expiry cost</w:t>
            </w:r>
          </w:p>
        </w:tc>
        <w:tc>
          <w:tcPr>
            <w:tcW w:type="dxa" w:w="2880"/>
          </w:tcPr>
          <w:p>
            <w:r>
              <w:t>9 per unit</w:t>
            </w:r>
          </w:p>
        </w:tc>
        <w:tc>
          <w:tcPr>
            <w:tcW w:type="dxa" w:w="2880"/>
          </w:tcPr>
          <w:p>
            <w:r>
              <w:t>Moderate penalty for waste</w:t>
            </w:r>
          </w:p>
        </w:tc>
      </w:tr>
      <w:tr>
        <w:tc>
          <w:tcPr>
            <w:tcW w:type="dxa" w:w="2880"/>
          </w:tcPr>
          <w:p>
            <w:r>
              <w:t>Lead time</w:t>
            </w:r>
          </w:p>
        </w:tc>
        <w:tc>
          <w:tcPr>
            <w:tcW w:type="dxa" w:w="2880"/>
          </w:tcPr>
          <w:p>
            <w:r>
              <w:t>2 periods</w:t>
            </w:r>
          </w:p>
        </w:tc>
        <w:tc>
          <w:tcPr>
            <w:tcW w:type="dxa" w:w="2880"/>
          </w:tcPr>
          <w:p>
            <w:r>
              <w:t>Orders arrive 2 days after placement</w:t>
            </w:r>
          </w:p>
        </w:tc>
      </w:tr>
    </w:tbl>
    <w:p/>
    <w:p>
      <w:pPr>
        <w:pStyle w:val="Heading2"/>
      </w:pPr>
      <w:r>
        <w:t>1.2 Perishability and FIFO</w:t>
      </w:r>
    </w:p>
    <w:p>
      <w:r>
        <w:t>Products have a shelf life of 2 periods. Units are tracked by age cohort: age-0 (fresh, delivered this period) and age-1 (delivered last period, expires at end of current period). When demand occurs, the oldest units (age-1) are sold first following a FIFO (First-In, First-Out) policy. Any age-1 units remaining unsold at the end of the period are discarded and incur the expiry cost.</w:t>
      </w:r>
    </w:p>
    <w:p>
      <w:pPr>
        <w:pStyle w:val="Heading2"/>
      </w:pPr>
      <w:r>
        <w:t>1.3 Simulation Sequence</w:t>
      </w:r>
    </w:p>
    <w:p>
      <w:r>
        <w:t>Each period follows this exact sequence:</w:t>
      </w:r>
    </w:p>
    <w:p>
      <w:r>
        <w:t>1. Start of period: Pipeline shipment arrives (becomes age-0 on-hand). Observe inventory state. Decide order quantity (enters pipeline, arrives in 2 periods).</w:t>
      </w:r>
    </w:p>
    <w:p>
      <w:r>
        <w:t>2. During the period: Customer demand occurs. Oldest units (age-1) are sold first (FIFO). Any demand that cannot be met incurs the shortage cost of 19 per unit.</w:t>
      </w:r>
    </w:p>
    <w:p>
      <w:r>
        <w:t>3. End of period: Remaining age-1 units expire (cost 9 each). A holding cost of 1 per unit is charged on all units still in inventory (before expiry removal). Age transition: age-0 units become age-1 for the next period.</w:t>
      </w:r>
    </w:p>
    <w:p>
      <w:r>
        <w:t>4. Move to next period: New shipments arrive.</w:t>
      </w:r>
    </w:p>
    <w:p>
      <w:pPr>
        <w:pStyle w:val="Heading2"/>
      </w:pPr>
      <w:r>
        <w:t>1.4 Starting Position</w:t>
      </w:r>
    </w:p>
    <w:p>
      <w:r>
        <w:t>The game begins on 2021-07-02 with the starting inventory position [5, 4, 3]: 5 units arriving the next day (in the pipeline), 4 units of age-0 (delivered today), and 3 units of age-1 (delivered yesterday, expiring at end of today). This gives 7 units on-hand and 5 in the pipeline.</w:t>
      </w:r>
    </w:p>
    <w:p>
      <w:pPr>
        <w:pStyle w:val="Heading2"/>
      </w:pPr>
      <w:r>
        <w:t>1.5 Critical Ratio Analysis</w:t>
      </w:r>
    </w:p>
    <w:p>
      <w:r>
        <w:t>The newsvendor critical ratio provides the theoretical foundation for our ordering policy. With an underage cost (shortage) of 19 and an overage cost (holding) of 1, the critical ratio is:</w:t>
      </w:r>
    </w:p>
    <w:p>
      <w:pPr>
        <w:jc w:val="center"/>
      </w:pPr>
      <w:r>
        <w:rPr>
          <w:b/>
          <w:sz w:val="24"/>
        </w:rPr>
        <w:t>CR = Cu / (Cu + Co) = 19 / (19 + 1) = 0.95</w:t>
      </w:r>
    </w:p>
    <w:p>
      <w:r>
        <w:t>This means we should target the 95th percentile of the demand distribution: it is optimal to stock enough to satisfy demand 95% of the time. However, the perishability constraint (shelf life = 2) and expiry cost (9 per unit) mean that blindly ordering to the 95th percentile would cause excessive waste. Our policy must balance this tension.</w:t>
      </w:r>
    </w:p>
    <w:p>
      <w:r>
        <w:br w:type="page"/>
      </w:r>
    </w:p>
    <w:p>
      <w:pPr>
        <w:pStyle w:val="Heading1"/>
      </w:pPr>
      <w:r>
        <w:t>2. Data Exploration</w:t>
      </w:r>
    </w:p>
    <w:p>
      <w:pPr>
        <w:pStyle w:val="Heading2"/>
      </w:pPr>
      <w:r>
        <w:t>2.1 Dataset Overview</w:t>
      </w:r>
    </w:p>
    <w:p>
      <w:r>
        <w:t>The training data (df_6_art_train_project.parquet) contains 7,143 rows covering 6 SKUs from one retail store, spanning September 2017 to August 2021. Each row represents one selling day (Sundays and official holidays are excluded). The target SKU (art_id: 2921141, subgroup 109) has 1,191 rows, of which 1,165 have known sales values (the remaining 26 are the test period with NaN sales).</w:t>
      </w:r>
    </w:p>
    <w:p>
      <w:pPr>
        <w:pStyle w:val="Heading2"/>
      </w:pPr>
      <w:r>
        <w:t>2.2 Features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Feature</w:t>
            </w:r>
          </w:p>
        </w:tc>
        <w:tc>
          <w:tcPr>
            <w:tcW w:type="dxa" w:w="4320"/>
          </w:tcPr>
          <w:p>
            <w:r>
              <w:rPr>
                <w:b/>
              </w:rPr>
              <w:t>Description</w:t>
            </w:r>
          </w:p>
        </w:tc>
      </w:tr>
      <w:tr>
        <w:tc>
          <w:tcPr>
            <w:tcW w:type="dxa" w:w="4320"/>
          </w:tcPr>
          <w:p>
            <w:r>
              <w:t>PROMO_01</w:t>
            </w:r>
          </w:p>
        </w:tc>
        <w:tc>
          <w:tcPr>
            <w:tcW w:type="dxa" w:w="4320"/>
          </w:tcPr>
          <w:p>
            <w:r>
              <w:t>Binary indicator: 1 if product is on promotion, 0 otherwise</w:t>
            </w:r>
          </w:p>
        </w:tc>
      </w:tr>
      <w:tr>
        <w:tc>
          <w:tcPr>
            <w:tcW w:type="dxa" w:w="4320"/>
          </w:tcPr>
          <w:p>
            <w:r>
              <w:t>PROMO_DEPTH</w:t>
            </w:r>
          </w:p>
        </w:tc>
        <w:tc>
          <w:tcPr>
            <w:tcW w:type="dxa" w:w="4320"/>
          </w:tcPr>
          <w:p>
            <w:r>
              <w:t>Promotion discount depth (0 = no promo, up to 60%)</w:t>
            </w:r>
          </w:p>
        </w:tc>
      </w:tr>
      <w:tr>
        <w:tc>
          <w:tcPr>
            <w:tcW w:type="dxa" w:w="4320"/>
          </w:tcPr>
          <w:p>
            <w:r>
              <w:t>PRC_2_norm</w:t>
            </w:r>
          </w:p>
        </w:tc>
        <w:tc>
          <w:tcPr>
            <w:tcW w:type="dxa" w:w="4320"/>
          </w:tcPr>
          <w:p>
            <w:r>
              <w:t>Normalized price of the product</w:t>
            </w:r>
          </w:p>
        </w:tc>
      </w:tr>
      <w:tr>
        <w:tc>
          <w:tcPr>
            <w:tcW w:type="dxa" w:w="4320"/>
          </w:tcPr>
          <w:p>
            <w:r>
              <w:t>OFFICIAL_HOLIDAY_01_f1</w:t>
            </w:r>
          </w:p>
        </w:tc>
        <w:tc>
          <w:tcPr>
            <w:tcW w:type="dxa" w:w="4320"/>
          </w:tcPr>
          <w:p>
            <w:r>
              <w:t>Binary: 1 if tomorrow is an official holiday</w:t>
            </w:r>
          </w:p>
        </w:tc>
      </w:tr>
      <w:tr>
        <w:tc>
          <w:tcPr>
            <w:tcW w:type="dxa" w:w="4320"/>
          </w:tcPr>
          <w:p>
            <w:r>
              <w:t>OFFICIAL_HOLIDAY_01_l1</w:t>
            </w:r>
          </w:p>
        </w:tc>
        <w:tc>
          <w:tcPr>
            <w:tcW w:type="dxa" w:w="4320"/>
          </w:tcPr>
          <w:p>
            <w:r>
              <w:t>Binary: 1 if yesterday was an official holiday</w:t>
            </w:r>
          </w:p>
        </w:tc>
      </w:tr>
      <w:tr>
        <w:tc>
          <w:tcPr>
            <w:tcW w:type="dxa" w:w="4320"/>
          </w:tcPr>
          <w:p>
            <w:r>
              <w:t>date</w:t>
            </w:r>
          </w:p>
        </w:tc>
        <w:tc>
          <w:tcPr>
            <w:tcW w:type="dxa" w:w="4320"/>
          </w:tcPr>
          <w:p>
            <w:r>
              <w:t>Date of the observation (used to derive day-of-week)</w:t>
            </w:r>
          </w:p>
        </w:tc>
      </w:tr>
      <w:tr>
        <w:tc>
          <w:tcPr>
            <w:tcW w:type="dxa" w:w="4320"/>
          </w:tcPr>
          <w:p>
            <w:r>
              <w:t>sales</w:t>
            </w:r>
          </w:p>
        </w:tc>
        <w:tc>
          <w:tcPr>
            <w:tcW w:type="dxa" w:w="4320"/>
          </w:tcPr>
          <w:p>
            <w:r>
              <w:t>Target variable: number of units sold</w:t>
            </w:r>
          </w:p>
        </w:tc>
      </w:tr>
    </w:tbl>
    <w:p/>
    <w:p>
      <w:pPr>
        <w:pStyle w:val="Heading2"/>
      </w:pPr>
      <w:r>
        <w:t>2.3 Target SKU Sales Statistics</w:t>
      </w:r>
    </w:p>
    <w:tbl>
      <w:tblPr>
        <w:tblStyle w:val="LightGrid-Accent1"/>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Mean</w:t>
            </w:r>
          </w:p>
        </w:tc>
        <w:tc>
          <w:tcPr>
            <w:tcW w:type="dxa" w:w="1440"/>
          </w:tcPr>
          <w:p>
            <w:r>
              <w:rPr>
                <w:b/>
              </w:rPr>
              <w:t>Median</w:t>
            </w:r>
          </w:p>
        </w:tc>
        <w:tc>
          <w:tcPr>
            <w:tcW w:type="dxa" w:w="1440"/>
          </w:tcPr>
          <w:p>
            <w:r>
              <w:rPr>
                <w:b/>
              </w:rPr>
              <w:t>Std Dev</w:t>
            </w:r>
          </w:p>
        </w:tc>
        <w:tc>
          <w:tcPr>
            <w:tcW w:type="dxa" w:w="1440"/>
          </w:tcPr>
          <w:p>
            <w:r>
              <w:rPr>
                <w:b/>
              </w:rPr>
              <w:t>Min</w:t>
            </w:r>
          </w:p>
        </w:tc>
        <w:tc>
          <w:tcPr>
            <w:tcW w:type="dxa" w:w="1440"/>
          </w:tcPr>
          <w:p>
            <w:r>
              <w:rPr>
                <w:b/>
              </w:rPr>
              <w:t>Max</w:t>
            </w:r>
          </w:p>
        </w:tc>
        <w:tc>
          <w:tcPr>
            <w:tcW w:type="dxa" w:w="1440"/>
          </w:tcPr>
          <w:p>
            <w:r>
              <w:rPr>
                <w:b/>
              </w:rPr>
              <w:t>Count</w:t>
            </w:r>
          </w:p>
        </w:tc>
      </w:tr>
      <w:tr>
        <w:tc>
          <w:tcPr>
            <w:tcW w:type="dxa" w:w="1440"/>
          </w:tcPr>
          <w:p>
            <w:r>
              <w:t>5.00</w:t>
            </w:r>
          </w:p>
        </w:tc>
        <w:tc>
          <w:tcPr>
            <w:tcW w:type="dxa" w:w="1440"/>
          </w:tcPr>
          <w:p>
            <w:r>
              <w:t>4.0</w:t>
            </w:r>
          </w:p>
        </w:tc>
        <w:tc>
          <w:tcPr>
            <w:tcW w:type="dxa" w:w="1440"/>
          </w:tcPr>
          <w:p>
            <w:r>
              <w:t>4.28</w:t>
            </w:r>
          </w:p>
        </w:tc>
        <w:tc>
          <w:tcPr>
            <w:tcW w:type="dxa" w:w="1440"/>
          </w:tcPr>
          <w:p>
            <w:r>
              <w:t>0</w:t>
            </w:r>
          </w:p>
        </w:tc>
        <w:tc>
          <w:tcPr>
            <w:tcW w:type="dxa" w:w="1440"/>
          </w:tcPr>
          <w:p>
            <w:r>
              <w:t>24</w:t>
            </w:r>
          </w:p>
        </w:tc>
        <w:tc>
          <w:tcPr>
            <w:tcW w:type="dxa" w:w="1440"/>
          </w:tcPr>
          <w:p>
            <w:r>
              <w:t>1,165</w:t>
            </w:r>
          </w:p>
        </w:tc>
      </w:tr>
    </w:tbl>
    <w:p/>
    <w:p>
      <w:pPr>
        <w:pStyle w:val="Heading2"/>
      </w:pPr>
      <w:r>
        <w:t>2.4 Key Demand Patterns</w:t>
      </w:r>
    </w:p>
    <w:p>
      <w:pPr>
        <w:pStyle w:val="ListBullet"/>
      </w:pPr>
      <w:r>
        <w:t>Promotion effect:</w:t>
      </w:r>
    </w:p>
    <w:p>
      <w:r>
        <w:t>Sales during promotions average 5.77 units/day vs. 4.33 without promotion. The test period features a heavy promotion (depth=40%) for the first 12 days, followed by 14 days without promotion. This means we expect higher demand early in the game and lower demand in the second half.</w:t>
      </w:r>
    </w:p>
    <w:p>
      <w:pPr>
        <w:pStyle w:val="ListBullet"/>
      </w:pPr>
      <w:r>
        <w:t>Day-of-week effect:</w:t>
      </w:r>
    </w:p>
    <w:p>
      <w:r>
        <w:t>Saturday consistently shows the highest demand (~2x weekday average), followed by Friday. Monday through Thursday show lower, more stable demand. This weekly pattern is critical for ordering decisions since the 2-period lead time means Thursday orders serve Saturday demand.</w:t>
      </w:r>
    </w:p>
    <w:p>
      <w:pPr>
        <w:pStyle w:val="ListBullet"/>
      </w:pPr>
      <w:r>
        <w:t>Price sensitivity:</w:t>
      </w:r>
    </w:p>
    <w:p>
      <w:r>
        <w:t>Lower prices (PRC_2_norm &lt; 2.5) correlate with higher demand (mean ~6.3), independent of the promotion flag. The test period includes a stretch of very low price (1.99) at the end of July.</w:t>
      </w:r>
    </w:p>
    <w:p>
      <w:pPr>
        <w:pStyle w:val="Heading2"/>
      </w:pPr>
      <w:r>
        <w:t>2.5 Test Period Structure (26 Periods)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rPr>
              <w:t>Phase</w:t>
            </w:r>
          </w:p>
        </w:tc>
        <w:tc>
          <w:tcPr>
            <w:tcW w:type="dxa" w:w="2160"/>
          </w:tcPr>
          <w:p>
            <w:r>
              <w:rPr>
                <w:b/>
              </w:rPr>
              <w:t>Dates</w:t>
            </w:r>
          </w:p>
        </w:tc>
        <w:tc>
          <w:tcPr>
            <w:tcW w:type="dxa" w:w="2160"/>
          </w:tcPr>
          <w:p>
            <w:r>
              <w:rPr>
                <w:b/>
              </w:rPr>
              <w:t>Promo</w:t>
            </w:r>
          </w:p>
        </w:tc>
        <w:tc>
          <w:tcPr>
            <w:tcW w:type="dxa" w:w="2160"/>
          </w:tcPr>
          <w:p>
            <w:r>
              <w:rPr>
                <w:b/>
              </w:rPr>
              <w:t>Expected Demand</w:t>
            </w:r>
          </w:p>
        </w:tc>
      </w:tr>
      <w:tr>
        <w:tc>
          <w:tcPr>
            <w:tcW w:type="dxa" w:w="2160"/>
          </w:tcPr>
          <w:p>
            <w:r>
              <w:t>Phase 1 (12 days)</w:t>
            </w:r>
          </w:p>
        </w:tc>
        <w:tc>
          <w:tcPr>
            <w:tcW w:type="dxa" w:w="2160"/>
          </w:tcPr>
          <w:p>
            <w:r>
              <w:t>Jul 2 - Jul 13</w:t>
            </w:r>
          </w:p>
        </w:tc>
        <w:tc>
          <w:tcPr>
            <w:tcW w:type="dxa" w:w="2160"/>
          </w:tcPr>
          <w:p>
            <w:r>
              <w:t>Yes (depth=40%)</w:t>
            </w:r>
          </w:p>
        </w:tc>
        <w:tc>
          <w:tcPr>
            <w:tcW w:type="dxa" w:w="2160"/>
          </w:tcPr>
          <w:p>
            <w:r>
              <w:t>Higher (~6-8/day)</w:t>
            </w:r>
          </w:p>
        </w:tc>
      </w:tr>
      <w:tr>
        <w:tc>
          <w:tcPr>
            <w:tcW w:type="dxa" w:w="2160"/>
          </w:tcPr>
          <w:p>
            <w:r>
              <w:t>Phase 2 (14 days)</w:t>
            </w:r>
          </w:p>
        </w:tc>
        <w:tc>
          <w:tcPr>
            <w:tcW w:type="dxa" w:w="2160"/>
          </w:tcPr>
          <w:p>
            <w:r>
              <w:t>Jul 14 - Aug 2</w:t>
            </w:r>
          </w:p>
        </w:tc>
        <w:tc>
          <w:tcPr>
            <w:tcW w:type="dxa" w:w="2160"/>
          </w:tcPr>
          <w:p>
            <w:r>
              <w:t>No</w:t>
            </w:r>
          </w:p>
        </w:tc>
        <w:tc>
          <w:tcPr>
            <w:tcW w:type="dxa" w:w="2160"/>
          </w:tcPr>
          <w:p>
            <w:r>
              <w:t>Normal (~3-5/day)</w:t>
            </w:r>
          </w:p>
        </w:tc>
      </w:tr>
    </w:tbl>
    <w:p/>
    <w:p>
      <w:r>
        <w:t>One holiday-adjacent period occurs around July 20-22. The transition from promo to non-promo around July 14 is a critical moment where demand drops suddenly and excess inventory may expire.</w:t>
      </w:r>
    </w:p>
    <w:p>
      <w:r>
        <w:br w:type="page"/>
      </w:r>
    </w:p>
    <w:p>
      <w:pPr>
        <w:pStyle w:val="Heading1"/>
      </w:pPr>
      <w:r>
        <w:t>3. Demand Forecasting Model</w:t>
      </w:r>
    </w:p>
    <w:p>
      <w:pPr>
        <w:pStyle w:val="Heading2"/>
      </w:pPr>
      <w:r>
        <w:t>3.1 Approach: LightGBM Quantile Regression</w:t>
      </w:r>
    </w:p>
    <w:p>
      <w:r>
        <w:t>Rather than predicting a single point forecast (which would not capture uncertainty), we train multiple LightGBM models, each targeting a different quantile of the conditional demand distribution. This directly answers the question: "Given today's features (day-of-week, promo status, price, holidays), what is the Xth percentile of demand?"</w:t>
      </w:r>
    </w:p>
    <w:p>
      <w:r>
        <w:t>We train 5 models in total:</w:t>
      </w:r>
    </w:p>
    <w:p>
      <w:pPr>
        <w:pStyle w:val="ListBullet"/>
      </w:pPr>
      <w:r>
        <w:t>Poisson mean model: provides the expected (average) demand for reference.</w:t>
      </w:r>
    </w:p>
    <w:p>
      <w:pPr>
        <w:pStyle w:val="ListBullet"/>
      </w:pPr>
      <w:r>
        <w:t>Quantile 0.50 (median): the central forecast, used as a floor for ordering.</w:t>
      </w:r>
    </w:p>
    <w:p>
      <w:pPr>
        <w:pStyle w:val="ListBullet"/>
      </w:pPr>
      <w:r>
        <w:t>Quantile 0.75: upper-moderate demand scenario.</w:t>
      </w:r>
    </w:p>
    <w:p>
      <w:pPr>
        <w:pStyle w:val="ListBullet"/>
      </w:pPr>
      <w:r>
        <w:t>Quantile 0.90: high demand scenario.</w:t>
      </w:r>
    </w:p>
    <w:p>
      <w:pPr>
        <w:pStyle w:val="ListBullet"/>
      </w:pPr>
      <w:r>
        <w:t>Quantile 0.95: the primary ordering target, matching the critical ratio of 0.95.</w:t>
      </w:r>
    </w:p>
    <w:p>
      <w:pPr>
        <w:pStyle w:val="Heading2"/>
      </w:pPr>
      <w:r>
        <w:t>3.2 Feature Engineering</w:t>
      </w:r>
    </w:p>
    <w:p>
      <w:r>
        <w:t>We engineer 8 features from the raw data:</w:t>
      </w:r>
    </w:p>
    <w:p>
      <w:pPr>
        <w:pStyle w:val="ListBullet"/>
      </w:pPr>
      <w:r>
        <w:t>dow (0-6): Day of week extracted from the date. Captures weekly seasonality.</w:t>
      </w:r>
    </w:p>
    <w:p>
      <w:pPr>
        <w:pStyle w:val="ListBullet"/>
      </w:pPr>
      <w:r>
        <w:t>is_saturday (binary): Explicit indicator for the highest-demand day.</w:t>
      </w:r>
    </w:p>
    <w:p>
      <w:pPr>
        <w:pStyle w:val="ListBullet"/>
      </w:pPr>
      <w:r>
        <w:t>is_friday (binary): Explicit indicator for the second-highest-demand day.</w:t>
      </w:r>
    </w:p>
    <w:p>
      <w:pPr>
        <w:pStyle w:val="ListBullet"/>
      </w:pPr>
      <w:r>
        <w:t>PROMO_01 (binary): Whether a promotion is active.</w:t>
      </w:r>
    </w:p>
    <w:p>
      <w:pPr>
        <w:pStyle w:val="ListBullet"/>
      </w:pPr>
      <w:r>
        <w:t>PROMO_DEPTH (0-60): The discount percentage of the promotion.</w:t>
      </w:r>
    </w:p>
    <w:p>
      <w:pPr>
        <w:pStyle w:val="ListBullet"/>
      </w:pPr>
      <w:r>
        <w:t>PRC_2_norm (continuous): Normalized product price.</w:t>
      </w:r>
    </w:p>
    <w:p>
      <w:pPr>
        <w:pStyle w:val="ListBullet"/>
      </w:pPr>
      <w:r>
        <w:t>OFFICIAL_HOLIDAY_01_f1 (binary): Holiday tomorrow indicator.</w:t>
      </w:r>
    </w:p>
    <w:p>
      <w:pPr>
        <w:pStyle w:val="ListBullet"/>
      </w:pPr>
      <w:r>
        <w:t>OFFICIAL_HOLIDAY_01_l1 (binary): Holiday yesterday indicator.</w:t>
      </w:r>
    </w:p>
    <w:p>
      <w:pPr>
        <w:pStyle w:val="Heading2"/>
      </w:pPr>
      <w:r>
        <w:t>3.3 Model Configuration</w:t>
      </w:r>
    </w:p>
    <w:p>
      <w:r>
        <w:t>All LightGBM models share the same hyperparameters to ensure consistency:</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Hyperparameter</w:t>
            </w:r>
          </w:p>
        </w:tc>
        <w:tc>
          <w:tcPr>
            <w:tcW w:type="dxa" w:w="4320"/>
          </w:tcPr>
          <w:p>
            <w:r>
              <w:rPr>
                <w:b/>
              </w:rPr>
              <w:t>Value</w:t>
            </w:r>
          </w:p>
        </w:tc>
      </w:tr>
      <w:tr>
        <w:tc>
          <w:tcPr>
            <w:tcW w:type="dxa" w:w="4320"/>
          </w:tcPr>
          <w:p>
            <w:r>
              <w:t>num_leaves</w:t>
            </w:r>
          </w:p>
        </w:tc>
        <w:tc>
          <w:tcPr>
            <w:tcW w:type="dxa" w:w="4320"/>
          </w:tcPr>
          <w:p>
            <w:r>
              <w:t>16 (prevents overfitting on 1,165 rows)</w:t>
            </w:r>
          </w:p>
        </w:tc>
      </w:tr>
      <w:tr>
        <w:tc>
          <w:tcPr>
            <w:tcW w:type="dxa" w:w="4320"/>
          </w:tcPr>
          <w:p>
            <w:r>
              <w:t>min_child_samples</w:t>
            </w:r>
          </w:p>
        </w:tc>
        <w:tc>
          <w:tcPr>
            <w:tcW w:type="dxa" w:w="4320"/>
          </w:tcPr>
          <w:p>
            <w:r>
              <w:t>20 (ensures stable leaf estimates)</w:t>
            </w:r>
          </w:p>
        </w:tc>
      </w:tr>
      <w:tr>
        <w:tc>
          <w:tcPr>
            <w:tcW w:type="dxa" w:w="4320"/>
          </w:tcPr>
          <w:p>
            <w:r>
              <w:t>learning_rate</w:t>
            </w:r>
          </w:p>
        </w:tc>
        <w:tc>
          <w:tcPr>
            <w:tcW w:type="dxa" w:w="4320"/>
          </w:tcPr>
          <w:p>
            <w:r>
              <w:t>0.05</w:t>
            </w:r>
          </w:p>
        </w:tc>
      </w:tr>
      <w:tr>
        <w:tc>
          <w:tcPr>
            <w:tcW w:type="dxa" w:w="4320"/>
          </w:tcPr>
          <w:p>
            <w:r>
              <w:t>num_boost_round</w:t>
            </w:r>
          </w:p>
        </w:tc>
        <w:tc>
          <w:tcPr>
            <w:tcW w:type="dxa" w:w="4320"/>
          </w:tcPr>
          <w:p>
            <w:r>
              <w:t>300</w:t>
            </w:r>
          </w:p>
        </w:tc>
      </w:tr>
    </w:tbl>
    <w:p/>
    <w:p>
      <w:pPr>
        <w:pStyle w:val="Heading2"/>
      </w:pPr>
      <w:r>
        <w:t>3.4 Validation Results</w:t>
      </w:r>
    </w:p>
    <w:p>
      <w:r>
        <w:t>We perform a time-series validation split using the last 200 training days as the test set (train: 965 rows, test: 200 rows). Results are evaluated using pinball loss and empirical coverage: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Quantile</w:t>
            </w:r>
          </w:p>
        </w:tc>
        <w:tc>
          <w:tcPr>
            <w:tcW w:type="dxa" w:w="2880"/>
          </w:tcPr>
          <w:p>
            <w:r>
              <w:rPr>
                <w:b/>
              </w:rPr>
              <w:t>Pinball Loss</w:t>
            </w:r>
          </w:p>
        </w:tc>
        <w:tc>
          <w:tcPr>
            <w:tcW w:type="dxa" w:w="2880"/>
          </w:tcPr>
          <w:p>
            <w:r>
              <w:rPr>
                <w:b/>
              </w:rPr>
              <w:t>Actual Coverage (Target)</w:t>
            </w:r>
          </w:p>
        </w:tc>
      </w:tr>
      <w:tr>
        <w:tc>
          <w:tcPr>
            <w:tcW w:type="dxa" w:w="2880"/>
          </w:tcPr>
          <w:p>
            <w:r>
              <w:t>0.50</w:t>
            </w:r>
          </w:p>
        </w:tc>
        <w:tc>
          <w:tcPr>
            <w:tcW w:type="dxa" w:w="2880"/>
          </w:tcPr>
          <w:p>
            <w:r>
              <w:t>1.552</w:t>
            </w:r>
          </w:p>
        </w:tc>
        <w:tc>
          <w:tcPr>
            <w:tcW w:type="dxa" w:w="2880"/>
          </w:tcPr>
          <w:p>
            <w:r>
              <w:t>64.0% (50%)</w:t>
            </w:r>
          </w:p>
        </w:tc>
      </w:tr>
      <w:tr>
        <w:tc>
          <w:tcPr>
            <w:tcW w:type="dxa" w:w="2880"/>
          </w:tcPr>
          <w:p>
            <w:r>
              <w:t>0.75</w:t>
            </w:r>
          </w:p>
        </w:tc>
        <w:tc>
          <w:tcPr>
            <w:tcW w:type="dxa" w:w="2880"/>
          </w:tcPr>
          <w:p>
            <w:r>
              <w:t>1.340</w:t>
            </w:r>
          </w:p>
        </w:tc>
        <w:tc>
          <w:tcPr>
            <w:tcW w:type="dxa" w:w="2880"/>
          </w:tcPr>
          <w:p>
            <w:r>
              <w:t>79.5% (75%)</w:t>
            </w:r>
          </w:p>
        </w:tc>
      </w:tr>
      <w:tr>
        <w:tc>
          <w:tcPr>
            <w:tcW w:type="dxa" w:w="2880"/>
          </w:tcPr>
          <w:p>
            <w:r>
              <w:t>0.90</w:t>
            </w:r>
          </w:p>
        </w:tc>
        <w:tc>
          <w:tcPr>
            <w:tcW w:type="dxa" w:w="2880"/>
          </w:tcPr>
          <w:p>
            <w:r>
              <w:t>0.803</w:t>
            </w:r>
          </w:p>
        </w:tc>
        <w:tc>
          <w:tcPr>
            <w:tcW w:type="dxa" w:w="2880"/>
          </w:tcPr>
          <w:p>
            <w:r>
              <w:t>90.0% (90%)</w:t>
            </w:r>
          </w:p>
        </w:tc>
      </w:tr>
      <w:tr>
        <w:tc>
          <w:tcPr>
            <w:tcW w:type="dxa" w:w="2880"/>
          </w:tcPr>
          <w:p>
            <w:r>
              <w:t>0.95</w:t>
            </w:r>
          </w:p>
        </w:tc>
        <w:tc>
          <w:tcPr>
            <w:tcW w:type="dxa" w:w="2880"/>
          </w:tcPr>
          <w:p>
            <w:r>
              <w:t>0.504</w:t>
            </w:r>
          </w:p>
        </w:tc>
        <w:tc>
          <w:tcPr>
            <w:tcW w:type="dxa" w:w="2880"/>
          </w:tcPr>
          <w:p>
            <w:r>
              <w:t>93.0% (95%)</w:t>
            </w:r>
          </w:p>
        </w:tc>
      </w:tr>
    </w:tbl>
    <w:p/>
    <w:p>
      <w:r>
        <w:t>The q90 model achieves exactly 90% coverage. The q95 model achieves 93%, slightly below the target but still well-calibrated. The q50 model over-covers at 64%, which is typical for count data with a long right tail - it means the median forecast tends to be slightly conservative, which is acceptable given our preference to avoid shortages.</w:t>
      </w:r>
    </w:p>
    <w:p>
      <w:pPr>
        <w:pStyle w:val="Heading2"/>
      </w:pPr>
      <w:r>
        <w:t>3.5 Sample Forecasts for the Test Period</w:t>
      </w:r>
    </w:p>
    <w:p>
      <w:r>
        <w:t>Below are forecasts for the first 5 test days:</w:t>
      </w:r>
    </w:p>
    <w:tbl>
      <w:tblPr>
        <w:tblStyle w:val="LightGrid-Accent1"/>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Date</w:t>
            </w:r>
          </w:p>
        </w:tc>
        <w:tc>
          <w:tcPr>
            <w:tcW w:type="dxa" w:w="1234"/>
          </w:tcPr>
          <w:p>
            <w:r>
              <w:rPr>
                <w:b/>
              </w:rPr>
              <w:t>Day</w:t>
            </w:r>
          </w:p>
        </w:tc>
        <w:tc>
          <w:tcPr>
            <w:tcW w:type="dxa" w:w="1234"/>
          </w:tcPr>
          <w:p>
            <w:r>
              <w:rPr>
                <w:b/>
              </w:rPr>
              <w:t>Promo</w:t>
            </w:r>
          </w:p>
        </w:tc>
        <w:tc>
          <w:tcPr>
            <w:tcW w:type="dxa" w:w="1234"/>
          </w:tcPr>
          <w:p>
            <w:r>
              <w:rPr>
                <w:b/>
              </w:rPr>
              <w:t>Mean</w:t>
            </w:r>
          </w:p>
        </w:tc>
        <w:tc>
          <w:tcPr>
            <w:tcW w:type="dxa" w:w="1234"/>
          </w:tcPr>
          <w:p>
            <w:r>
              <w:rPr>
                <w:b/>
              </w:rPr>
              <w:t>Q50</w:t>
            </w:r>
          </w:p>
        </w:tc>
        <w:tc>
          <w:tcPr>
            <w:tcW w:type="dxa" w:w="1234"/>
          </w:tcPr>
          <w:p>
            <w:r>
              <w:rPr>
                <w:b/>
              </w:rPr>
              <w:t>Q90</w:t>
            </w:r>
          </w:p>
        </w:tc>
        <w:tc>
          <w:tcPr>
            <w:tcW w:type="dxa" w:w="1234"/>
          </w:tcPr>
          <w:p>
            <w:r>
              <w:rPr>
                <w:b/>
              </w:rPr>
              <w:t>Q95</w:t>
            </w:r>
          </w:p>
        </w:tc>
      </w:tr>
      <w:tr>
        <w:tc>
          <w:tcPr>
            <w:tcW w:type="dxa" w:w="1234"/>
          </w:tcPr>
          <w:p>
            <w:r>
              <w:t>Jul 02</w:t>
            </w:r>
          </w:p>
        </w:tc>
        <w:tc>
          <w:tcPr>
            <w:tcW w:type="dxa" w:w="1234"/>
          </w:tcPr>
          <w:p>
            <w:r>
              <w:t>Fri</w:t>
            </w:r>
          </w:p>
        </w:tc>
        <w:tc>
          <w:tcPr>
            <w:tcW w:type="dxa" w:w="1234"/>
          </w:tcPr>
          <w:p>
            <w:r>
              <w:t>Yes</w:t>
            </w:r>
          </w:p>
        </w:tc>
        <w:tc>
          <w:tcPr>
            <w:tcW w:type="dxa" w:w="1234"/>
          </w:tcPr>
          <w:p>
            <w:r>
              <w:t>8.3</w:t>
            </w:r>
          </w:p>
        </w:tc>
        <w:tc>
          <w:tcPr>
            <w:tcW w:type="dxa" w:w="1234"/>
          </w:tcPr>
          <w:p>
            <w:r>
              <w:t>8.2</w:t>
            </w:r>
          </w:p>
        </w:tc>
        <w:tc>
          <w:tcPr>
            <w:tcW w:type="dxa" w:w="1234"/>
          </w:tcPr>
          <w:p>
            <w:r>
              <w:t>15.0</w:t>
            </w:r>
          </w:p>
        </w:tc>
        <w:tc>
          <w:tcPr>
            <w:tcW w:type="dxa" w:w="1234"/>
          </w:tcPr>
          <w:p>
            <w:r>
              <w:t>16.4</w:t>
            </w:r>
          </w:p>
        </w:tc>
      </w:tr>
      <w:tr>
        <w:tc>
          <w:tcPr>
            <w:tcW w:type="dxa" w:w="1234"/>
          </w:tcPr>
          <w:p>
            <w:r>
              <w:t>Jul 03</w:t>
            </w:r>
          </w:p>
        </w:tc>
        <w:tc>
          <w:tcPr>
            <w:tcW w:type="dxa" w:w="1234"/>
          </w:tcPr>
          <w:p>
            <w:r>
              <w:t>Sat</w:t>
            </w:r>
          </w:p>
        </w:tc>
        <w:tc>
          <w:tcPr>
            <w:tcW w:type="dxa" w:w="1234"/>
          </w:tcPr>
          <w:p>
            <w:r>
              <w:t>Yes</w:t>
            </w:r>
          </w:p>
        </w:tc>
        <w:tc>
          <w:tcPr>
            <w:tcW w:type="dxa" w:w="1234"/>
          </w:tcPr>
          <w:p>
            <w:r>
              <w:t>7.9</w:t>
            </w:r>
          </w:p>
        </w:tc>
        <w:tc>
          <w:tcPr>
            <w:tcW w:type="dxa" w:w="1234"/>
          </w:tcPr>
          <w:p>
            <w:r>
              <w:t>7.7</w:t>
            </w:r>
          </w:p>
        </w:tc>
        <w:tc>
          <w:tcPr>
            <w:tcW w:type="dxa" w:w="1234"/>
          </w:tcPr>
          <w:p>
            <w:r>
              <w:t>13.6</w:t>
            </w:r>
          </w:p>
        </w:tc>
        <w:tc>
          <w:tcPr>
            <w:tcW w:type="dxa" w:w="1234"/>
          </w:tcPr>
          <w:p>
            <w:r>
              <w:t>14.9</w:t>
            </w:r>
          </w:p>
        </w:tc>
      </w:tr>
      <w:tr>
        <w:tc>
          <w:tcPr>
            <w:tcW w:type="dxa" w:w="1234"/>
          </w:tcPr>
          <w:p>
            <w:r>
              <w:t>Jul 05</w:t>
            </w:r>
          </w:p>
        </w:tc>
        <w:tc>
          <w:tcPr>
            <w:tcW w:type="dxa" w:w="1234"/>
          </w:tcPr>
          <w:p>
            <w:r>
              <w:t>Mon</w:t>
            </w:r>
          </w:p>
        </w:tc>
        <w:tc>
          <w:tcPr>
            <w:tcW w:type="dxa" w:w="1234"/>
          </w:tcPr>
          <w:p>
            <w:r>
              <w:t>Yes</w:t>
            </w:r>
          </w:p>
        </w:tc>
        <w:tc>
          <w:tcPr>
            <w:tcW w:type="dxa" w:w="1234"/>
          </w:tcPr>
          <w:p>
            <w:r>
              <w:t>4.7</w:t>
            </w:r>
          </w:p>
        </w:tc>
        <w:tc>
          <w:tcPr>
            <w:tcW w:type="dxa" w:w="1234"/>
          </w:tcPr>
          <w:p>
            <w:r>
              <w:t>5.2</w:t>
            </w:r>
          </w:p>
        </w:tc>
        <w:tc>
          <w:tcPr>
            <w:tcW w:type="dxa" w:w="1234"/>
          </w:tcPr>
          <w:p>
            <w:r>
              <w:t>9.7</w:t>
            </w:r>
          </w:p>
        </w:tc>
        <w:tc>
          <w:tcPr>
            <w:tcW w:type="dxa" w:w="1234"/>
          </w:tcPr>
          <w:p>
            <w:r>
              <w:t>9.9</w:t>
            </w:r>
          </w:p>
        </w:tc>
      </w:tr>
      <w:tr>
        <w:tc>
          <w:tcPr>
            <w:tcW w:type="dxa" w:w="1234"/>
          </w:tcPr>
          <w:p>
            <w:r>
              <w:t>Jul 06</w:t>
            </w:r>
          </w:p>
        </w:tc>
        <w:tc>
          <w:tcPr>
            <w:tcW w:type="dxa" w:w="1234"/>
          </w:tcPr>
          <w:p>
            <w:r>
              <w:t>Tue</w:t>
            </w:r>
          </w:p>
        </w:tc>
        <w:tc>
          <w:tcPr>
            <w:tcW w:type="dxa" w:w="1234"/>
          </w:tcPr>
          <w:p>
            <w:r>
              <w:t>Yes</w:t>
            </w:r>
          </w:p>
        </w:tc>
        <w:tc>
          <w:tcPr>
            <w:tcW w:type="dxa" w:w="1234"/>
          </w:tcPr>
          <w:p>
            <w:r>
              <w:t>4.2</w:t>
            </w:r>
          </w:p>
        </w:tc>
        <w:tc>
          <w:tcPr>
            <w:tcW w:type="dxa" w:w="1234"/>
          </w:tcPr>
          <w:p>
            <w:r>
              <w:t>5.6</w:t>
            </w:r>
          </w:p>
        </w:tc>
        <w:tc>
          <w:tcPr>
            <w:tcW w:type="dxa" w:w="1234"/>
          </w:tcPr>
          <w:p>
            <w:r>
              <w:t>6.6</w:t>
            </w:r>
          </w:p>
        </w:tc>
        <w:tc>
          <w:tcPr>
            <w:tcW w:type="dxa" w:w="1234"/>
          </w:tcPr>
          <w:p>
            <w:r>
              <w:t>7.9</w:t>
            </w:r>
          </w:p>
        </w:tc>
      </w:tr>
      <w:tr>
        <w:tc>
          <w:tcPr>
            <w:tcW w:type="dxa" w:w="1234"/>
          </w:tcPr>
          <w:p>
            <w:r>
              <w:t>Jul 07</w:t>
            </w:r>
          </w:p>
        </w:tc>
        <w:tc>
          <w:tcPr>
            <w:tcW w:type="dxa" w:w="1234"/>
          </w:tcPr>
          <w:p>
            <w:r>
              <w:t>Wed</w:t>
            </w:r>
          </w:p>
        </w:tc>
        <w:tc>
          <w:tcPr>
            <w:tcW w:type="dxa" w:w="1234"/>
          </w:tcPr>
          <w:p>
            <w:r>
              <w:t>Yes</w:t>
            </w:r>
          </w:p>
        </w:tc>
        <w:tc>
          <w:tcPr>
            <w:tcW w:type="dxa" w:w="1234"/>
          </w:tcPr>
          <w:p>
            <w:r>
              <w:t>4.5</w:t>
            </w:r>
          </w:p>
        </w:tc>
        <w:tc>
          <w:tcPr>
            <w:tcW w:type="dxa" w:w="1234"/>
          </w:tcPr>
          <w:p>
            <w:r>
              <w:t>5.1</w:t>
            </w:r>
          </w:p>
        </w:tc>
        <w:tc>
          <w:tcPr>
            <w:tcW w:type="dxa" w:w="1234"/>
          </w:tcPr>
          <w:p>
            <w:r>
              <w:t>9.7</w:t>
            </w:r>
          </w:p>
        </w:tc>
        <w:tc>
          <w:tcPr>
            <w:tcW w:type="dxa" w:w="1234"/>
          </w:tcPr>
          <w:p>
            <w:r>
              <w:t>11.8</w:t>
            </w:r>
          </w:p>
        </w:tc>
      </w:tr>
    </w:tbl>
    <w:p/>
    <w:p>
      <w:r>
        <w:t>Notice how Friday and Saturday show higher forecasts even within the promo period, confirming the importance of the day-of-week feature.</w:t>
      </w:r>
    </w:p>
    <w:p>
      <w:r>
        <w:br w:type="page"/>
      </w:r>
    </w:p>
    <w:p>
      <w:pPr>
        <w:pStyle w:val="Heading1"/>
      </w:pPr>
      <w:r>
        <w:t>4. Inventory Simulation Engine</w:t>
      </w:r>
    </w:p>
    <w:p>
      <w:pPr>
        <w:pStyle w:val="Heading2"/>
      </w:pPr>
      <w:r>
        <w:t>4.1 State Representation</w:t>
      </w:r>
    </w:p>
    <w:p>
      <w:r>
        <w:t>The inventory state is tracked using two arrays:</w:t>
      </w:r>
    </w:p>
    <w:p>
      <w:pPr>
        <w:pStyle w:val="ListBullet"/>
      </w:pPr>
      <w:r>
        <w:t>on_hand = [age_0, age_1]: Units currently in the store, tracked by freshness. age_0 units were delivered this period (fresh). age_1 units were delivered last period and will expire at the end of the current period.</w:t>
      </w:r>
    </w:p>
    <w:p>
      <w:pPr>
        <w:pStyle w:val="ListBullet"/>
      </w:pPr>
      <w:r>
        <w:t>pipeline = [arriving_next_period, arriving_in_2_periods]: Orders that have been placed but not yet delivered. pipeline[0] arrives tomorrow, pipeline[1] arrives the day after.</w:t>
      </w:r>
    </w:p>
    <w:p>
      <w:pPr>
        <w:pStyle w:val="Heading2"/>
      </w:pPr>
      <w:r>
        <w:t>4.2 Period Execution Logic</w:t>
      </w:r>
    </w:p>
    <w:p>
      <w:r>
        <w:t>The engine implements the exact simulation sequence specified in the assignment. For each period, the step() function:</w:t>
      </w:r>
    </w:p>
    <w:p>
      <w:r>
        <w:t>1. Receives the arriving shipment: pipeline[0] is added to on_hand as age_0.</w:t>
      </w:r>
    </w:p>
    <w:p>
      <w:r>
        <w:t>2. Shifts the pipeline: pipeline[0] = pipeline[1], pipeline[1] = new order.</w:t>
      </w:r>
    </w:p>
    <w:p>
      <w:r>
        <w:t>3. Processes demand via FIFO: sells age_1 units first, then age_0. Tracks shortages.</w:t>
      </w:r>
    </w:p>
    <w:p>
      <w:r>
        <w:t>4. Computes expiry: any remaining age_1 units are discarded (cost 9 each).</w:t>
      </w:r>
    </w:p>
    <w:p>
      <w:r>
        <w:t>5. Computes holding cost: all remaining units (age_0 + age_1) incur cost 1 each.</w:t>
      </w:r>
    </w:p>
    <w:p>
      <w:r>
        <w:t>6. Performs age transition: age_0 becomes age_1 for the next period. age_0 resets to 0.</w:t>
      </w:r>
    </w:p>
    <w:p>
      <w:r>
        <w:t>7. Returns a detailed result dict with all period metrics.</w:t>
      </w:r>
    </w:p>
    <w:p>
      <w:pPr>
        <w:pStyle w:val="Heading2"/>
      </w:pPr>
      <w:r>
        <w:t>4.3 Cost Tracking</w:t>
      </w:r>
    </w:p>
    <w:p>
      <w:r>
        <w:t>The engine maintains a running total cost and a full history log. Each period records: units arrived, ordered, demanded, sold (by age cohort), shortage, expired, holding units, all three cost components, and the resulting state. This provides complete visibility for debugging and analysis.</w:t>
      </w:r>
    </w:p>
    <w:p>
      <w:r>
        <w:br w:type="page"/>
      </w:r>
    </w:p>
    <w:p>
      <w:pPr>
        <w:pStyle w:val="Heading1"/>
      </w:pPr>
      <w:r>
        <w:t>5. Ordering Policy</w:t>
      </w:r>
    </w:p>
    <w:p>
      <w:pPr>
        <w:pStyle w:val="Heading2"/>
      </w:pPr>
      <w:r>
        <w:t>5.1 Core Concept: Perishable Newsvendor with Forward Projection</w:t>
      </w:r>
    </w:p>
    <w:p>
      <w:r>
        <w:t>Our ordering policy extends the classical newsvendor framework to account for perishability and lead time. The key insight is:</w:t>
      </w:r>
    </w:p>
    <w:p>
      <w:pPr>
        <w:jc w:val="center"/>
      </w:pPr>
      <w:r>
        <w:rPr>
          <w:i/>
        </w:rPr>
        <w:t>An order placed at period t arrives at period t+2.</w:t>
        <w:br/>
        <w:t>Those units are age_0 at t+2 and age_1 at t+3 (then expire).</w:t>
        <w:br/>
        <w:t>So each order covers demand at t+2 and t+3.</w:t>
      </w:r>
    </w:p>
    <w:p/>
    <w:p>
      <w:r>
        <w:t>The policy works in three steps: (1) forecast demand, (2) project forward inventory, (3) compute the order that closes the gap to the target quantile.</w:t>
      </w:r>
    </w:p>
    <w:p>
      <w:pPr>
        <w:pStyle w:val="Heading2"/>
      </w:pPr>
      <w:r>
        <w:t>5.2 Step 1: Demand Forecasting</w:t>
      </w:r>
    </w:p>
    <w:p>
      <w:r>
        <w:t>For each period, we generate quantile forecasts for the current period (t), the next period (t+1), and the arrival period (t+2) and beyond (t+3). These forecasts use the known features (day-of-week, promo status, price, holiday indicators) from the test dataset.</w:t>
      </w:r>
    </w:p>
    <w:p>
      <w:pPr>
        <w:pStyle w:val="Heading2"/>
      </w:pPr>
      <w:r>
        <w:t>5.3 Step 2: Forward Inventory Projection</w:t>
      </w:r>
    </w:p>
    <w:p>
      <w:r>
        <w:t>This is the most technically involved part of the policy. Before deciding how much to order, we need to estimate how much inventory will still be alive when the order arrives at t+2. We simulate forward through the FIFO and expiry mechanics:</w:t>
      </w:r>
    </w:p>
    <w:p>
      <w:pPr>
        <w:pStyle w:val="ListBullet"/>
      </w:pPr>
      <w:r>
        <w:t>Period t simulation: The current pipeline[0] arrives as age_0. Mean demand at t is consumed via FIFO (age_1 first, then age_0). Remaining age_1 expires. Surviving age_0 units carry forward as age_1.</w:t>
      </w:r>
    </w:p>
    <w:p>
      <w:pPr>
        <w:pStyle w:val="ListBullet"/>
      </w:pPr>
      <w:r>
        <w:t>Period t+1 simulation: pipeline[1] arrives as age_0. The carry-forward from t (now age_1) is consumed first by mean demand at t+1. Remaining age_1 expires. Surviving age_0 carries forward.</w:t>
      </w:r>
    </w:p>
    <w:p>
      <w:pPr>
        <w:pStyle w:val="ListBullet"/>
      </w:pPr>
      <w:r>
        <w:t>At t+2: The carry-forward from t+1 becomes age_1. The new order arrives as age_0. Together they must cover demand at t+2.</w:t>
      </w:r>
    </w:p>
    <w:p>
      <w:r>
        <w:t>By simulating these mechanics, we get a precise estimate of 'existing_at_t2' - the inventory that will be alive at t+2 without our new order.</w:t>
      </w:r>
    </w:p>
    <w:p>
      <w:pPr>
        <w:pStyle w:val="Heading2"/>
      </w:pPr>
      <w:r>
        <w:t>5.4 Step 3: Order Quantity Calculation</w:t>
      </w:r>
    </w:p>
    <w:p>
      <w:r>
        <w:t>The order quantity is computed as:</w:t>
      </w:r>
    </w:p>
    <w:p>
      <w:pPr>
        <w:jc w:val="center"/>
      </w:pPr>
      <w:r>
        <w:rPr>
          <w:b/>
          <w:sz w:val="24"/>
        </w:rPr>
        <w:t>order = max(0, Q_target(t+2) - existing_at_t2)</w:t>
      </w:r>
    </w:p>
    <w:p/>
    <w:p>
      <w:r>
        <w:t>Where Q_target is the target quantile of demand at t+2. Three adjustments are applied:</w:t>
      </w:r>
    </w:p>
    <w:p>
      <w:pPr>
        <w:pStyle w:val="ListBullet"/>
      </w:pPr>
      <w:r>
        <w:t>Target quantile selection (0.95 by default): The critical ratio of 19/20 = 0.95 means we target the 95th percentile of demand. This is intentionally aggressive because the cost of a shortage (19) far exceeds holding (1).</w:t>
      </w:r>
    </w:p>
    <w:p>
      <w:pPr>
        <w:pStyle w:val="ListBullet"/>
      </w:pPr>
      <w:r>
        <w:t>Maximum useful cap: The order cannot serve more than demand at t+2 and t+3 combined (since it expires after t+3). We cap: order &lt;= Q_target(t+2) + Q_median(t+3) - existing.</w:t>
      </w:r>
    </w:p>
    <w:p>
      <w:pPr>
        <w:pStyle w:val="ListBullet"/>
      </w:pPr>
      <w:r>
        <w:t>Minimum floor: We always order at least enough to cover the median demand at t+2, providing a safety net even when projected inventory seems sufficient.</w:t>
      </w:r>
    </w:p>
    <w:p>
      <w:pPr>
        <w:pStyle w:val="Heading2"/>
      </w:pPr>
      <w:r>
        <w:t>5.5 End-Game Tapering</w:t>
      </w:r>
    </w:p>
    <w:p>
      <w:r>
        <w:t>As the game approaches its final periods, orders that arrive late have fewer periods to be sold before the game ends. Any unsold units at the end represent pure waste. We progressively reduce the target quantile:</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Periods Remaining After Arrival</w:t>
            </w:r>
          </w:p>
        </w:tc>
        <w:tc>
          <w:tcPr>
            <w:tcW w:type="dxa" w:w="4320"/>
          </w:tcPr>
          <w:p>
            <w:r>
              <w:rPr>
                <w:b/>
              </w:rPr>
              <w:t>Target Quantile</w:t>
            </w:r>
          </w:p>
        </w:tc>
      </w:tr>
      <w:tr>
        <w:tc>
          <w:tcPr>
            <w:tcW w:type="dxa" w:w="4320"/>
          </w:tcPr>
          <w:p>
            <w:r>
              <w:t>&gt; 3 periods</w:t>
            </w:r>
          </w:p>
        </w:tc>
        <w:tc>
          <w:tcPr>
            <w:tcW w:type="dxa" w:w="4320"/>
          </w:tcPr>
          <w:p>
            <w:r>
              <w:t>0.95 (full aggression)</w:t>
            </w:r>
          </w:p>
        </w:tc>
      </w:tr>
      <w:tr>
        <w:tc>
          <w:tcPr>
            <w:tcW w:type="dxa" w:w="4320"/>
          </w:tcPr>
          <w:p>
            <w:r>
              <w:t>3 periods</w:t>
            </w:r>
          </w:p>
        </w:tc>
        <w:tc>
          <w:tcPr>
            <w:tcW w:type="dxa" w:w="4320"/>
          </w:tcPr>
          <w:p>
            <w:r>
              <w:t>0.90</w:t>
            </w:r>
          </w:p>
        </w:tc>
      </w:tr>
      <w:tr>
        <w:tc>
          <w:tcPr>
            <w:tcW w:type="dxa" w:w="4320"/>
          </w:tcPr>
          <w:p>
            <w:r>
              <w:t>2 periods</w:t>
            </w:r>
          </w:p>
        </w:tc>
        <w:tc>
          <w:tcPr>
            <w:tcW w:type="dxa" w:w="4320"/>
          </w:tcPr>
          <w:p>
            <w:r>
              <w:t>0.75</w:t>
            </w:r>
          </w:p>
        </w:tc>
      </w:tr>
      <w:tr>
        <w:tc>
          <w:tcPr>
            <w:tcW w:type="dxa" w:w="4320"/>
          </w:tcPr>
          <w:p>
            <w:r>
              <w:t>1 period or less</w:t>
            </w:r>
          </w:p>
        </w:tc>
        <w:tc>
          <w:tcPr>
            <w:tcW w:type="dxa" w:w="4320"/>
          </w:tcPr>
          <w:p>
            <w:r>
              <w:t>0.50 (conservative)</w:t>
            </w:r>
          </w:p>
        </w:tc>
      </w:tr>
    </w:tbl>
    <w:p/>
    <w:p>
      <w:r>
        <w:t>This prevents the common pitfall of large end-game expiry costs, which in our backtests reduced total expiry costs by approximately 20%.</w:t>
      </w:r>
    </w:p>
    <w:p>
      <w:r>
        <w:br w:type="page"/>
      </w:r>
    </w:p>
    <w:p>
      <w:pPr>
        <w:pStyle w:val="Heading1"/>
      </w:pPr>
      <w:r>
        <w:t>6. Backtest Results</w:t>
      </w:r>
    </w:p>
    <w:p>
      <w:r>
        <w:t>We evaluated the policy under three deterministic demand scenarios to stress-test its behavior across different demand levels. Note: these are not realistic simulations (real demand varies period-to-period), but they reveal the policy's tendencies.</w:t>
      </w:r>
    </w:p>
    <w:tbl>
      <w:tblPr>
        <w:tblStyle w:val="LightGrid-Accent1"/>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rPr>
              <w:t>Scenario</w:t>
            </w:r>
          </w:p>
        </w:tc>
        <w:tc>
          <w:tcPr>
            <w:tcW w:type="dxa" w:w="1728"/>
          </w:tcPr>
          <w:p>
            <w:r>
              <w:rPr>
                <w:b/>
              </w:rPr>
              <w:t>Total Cost</w:t>
            </w:r>
          </w:p>
        </w:tc>
        <w:tc>
          <w:tcPr>
            <w:tcW w:type="dxa" w:w="1728"/>
          </w:tcPr>
          <w:p>
            <w:r>
              <w:rPr>
                <w:b/>
              </w:rPr>
              <w:t>Holding</w:t>
            </w:r>
          </w:p>
        </w:tc>
        <w:tc>
          <w:tcPr>
            <w:tcW w:type="dxa" w:w="1728"/>
          </w:tcPr>
          <w:p>
            <w:r>
              <w:rPr>
                <w:b/>
              </w:rPr>
              <w:t>Shortage</w:t>
            </w:r>
          </w:p>
        </w:tc>
        <w:tc>
          <w:tcPr>
            <w:tcW w:type="dxa" w:w="1728"/>
          </w:tcPr>
          <w:p>
            <w:r>
              <w:rPr>
                <w:b/>
              </w:rPr>
              <w:t>Expiry</w:t>
            </w:r>
          </w:p>
        </w:tc>
      </w:tr>
      <w:tr>
        <w:tc>
          <w:tcPr>
            <w:tcW w:type="dxa" w:w="1728"/>
          </w:tcPr>
          <w:p>
            <w:r>
              <w:t>Median demand</w:t>
            </w:r>
          </w:p>
        </w:tc>
        <w:tc>
          <w:tcPr>
            <w:tcW w:type="dxa" w:w="1728"/>
          </w:tcPr>
          <w:p>
            <w:r>
              <w:t>375</w:t>
            </w:r>
          </w:p>
        </w:tc>
        <w:tc>
          <w:tcPr>
            <w:tcW w:type="dxa" w:w="1728"/>
          </w:tcPr>
          <w:p>
            <w:r>
              <w:t>119</w:t>
            </w:r>
          </w:p>
        </w:tc>
        <w:tc>
          <w:tcPr>
            <w:tcW w:type="dxa" w:w="1728"/>
          </w:tcPr>
          <w:p>
            <w:r>
              <w:t>76</w:t>
            </w:r>
          </w:p>
        </w:tc>
        <w:tc>
          <w:tcPr>
            <w:tcW w:type="dxa" w:w="1728"/>
          </w:tcPr>
          <w:p>
            <w:r>
              <w:t>180</w:t>
            </w:r>
          </w:p>
        </w:tc>
      </w:tr>
      <w:tr>
        <w:tc>
          <w:tcPr>
            <w:tcW w:type="dxa" w:w="1728"/>
          </w:tcPr>
          <w:p>
            <w:r>
              <w:t>Q75 demand</w:t>
            </w:r>
          </w:p>
        </w:tc>
        <w:tc>
          <w:tcPr>
            <w:tcW w:type="dxa" w:w="1728"/>
          </w:tcPr>
          <w:p>
            <w:r>
              <w:t>639</w:t>
            </w:r>
          </w:p>
        </w:tc>
        <w:tc>
          <w:tcPr>
            <w:tcW w:type="dxa" w:w="1728"/>
          </w:tcPr>
          <w:p>
            <w:r>
              <w:t>12</w:t>
            </w:r>
          </w:p>
        </w:tc>
        <w:tc>
          <w:tcPr>
            <w:tcW w:type="dxa" w:w="1728"/>
          </w:tcPr>
          <w:p>
            <w:r>
              <w:t>627</w:t>
            </w:r>
          </w:p>
        </w:tc>
        <w:tc>
          <w:tcPr>
            <w:tcW w:type="dxa" w:w="1728"/>
          </w:tcPr>
          <w:p>
            <w:r>
              <w:t>0</w:t>
            </w:r>
          </w:p>
        </w:tc>
      </w:tr>
      <w:tr>
        <w:tc>
          <w:tcPr>
            <w:tcW w:type="dxa" w:w="1728"/>
          </w:tcPr>
          <w:p>
            <w:r>
              <w:t>Q90 demand</w:t>
            </w:r>
          </w:p>
        </w:tc>
        <w:tc>
          <w:tcPr>
            <w:tcW w:type="dxa" w:w="1728"/>
          </w:tcPr>
          <w:p>
            <w:r>
              <w:t>1,522</w:t>
            </w:r>
          </w:p>
        </w:tc>
        <w:tc>
          <w:tcPr>
            <w:tcW w:type="dxa" w:w="1728"/>
          </w:tcPr>
          <w:p>
            <w:r>
              <w:t>2</w:t>
            </w:r>
          </w:p>
        </w:tc>
        <w:tc>
          <w:tcPr>
            <w:tcW w:type="dxa" w:w="1728"/>
          </w:tcPr>
          <w:p>
            <w:r>
              <w:t>1,520</w:t>
            </w:r>
          </w:p>
        </w:tc>
        <w:tc>
          <w:tcPr>
            <w:tcW w:type="dxa" w:w="1728"/>
          </w:tcPr>
          <w:p>
            <w:r>
              <w:t>0</w:t>
            </w:r>
          </w:p>
        </w:tc>
      </w:tr>
    </w:tbl>
    <w:p/>
    <w:p>
      <w:pPr>
        <w:pStyle w:val="Heading2"/>
      </w:pPr>
      <w:r>
        <w:t>6.1 Interpretation</w:t>
      </w:r>
    </w:p>
    <w:p>
      <w:pPr>
        <w:pStyle w:val="ListBullet"/>
      </w:pPr>
      <w:r>
        <w:t>Median scenario (375 total): This represents the most likely outcome. The cost is split between moderate holding (119), a small unavoidable shortage at period 2 (76), and expiry (180) mostly from the promo-to-non-promo transition and end-game.</w:t>
      </w:r>
    </w:p>
    <w:p>
      <w:pPr>
        <w:pStyle w:val="ListBullet"/>
      </w:pPr>
      <w:r>
        <w:t>Q75 scenario (639 total): When demand consistently exceeds the median, shortages dominate. This is expected - our policy targets Q95 of individual periods, not sustained high demand.</w:t>
      </w:r>
    </w:p>
    <w:p>
      <w:pPr>
        <w:pStyle w:val="ListBullet"/>
      </w:pPr>
      <w:r>
        <w:t>Q90 scenario (1,522 total): An extreme stress test. Consistent 90th-percentile demand will defeat any reasonable policy. The zero expiry confirms the policy doesn't over-order.</w:t>
      </w:r>
    </w:p>
    <w:p>
      <w:pPr>
        <w:pStyle w:val="Heading2"/>
      </w:pPr>
      <w:r>
        <w:t>6.2 Key Observations</w:t>
      </w:r>
    </w:p>
    <w:p>
      <w:pPr>
        <w:pStyle w:val="ListBullet"/>
      </w:pPr>
      <w:r>
        <w:t>Period 2 shortage is unavoidable: The starting pipeline has a gap (pipeline = [5, 0]), meaning no units arrive on day 2. With Saturday promo demand of ~8, a shortage of ~4 units is structural. Our policy orders 10 units on day 1, but they arrive on day 3.</w:t>
      </w:r>
    </w:p>
    <w:p>
      <w:pPr>
        <w:pStyle w:val="ListBullet"/>
      </w:pPr>
      <w:r>
        <w:t>Promo-to-non-promo transition: Around period 11 (July 14), the promotion ends and demand drops sharply. Inventory stocked for promo demand levels may expire. The policy handles this by using feature-aware forecasts that automatically reduce when promo=0.</w:t>
      </w:r>
    </w:p>
    <w:p>
      <w:pPr>
        <w:pStyle w:val="ListBullet"/>
      </w:pPr>
      <w:r>
        <w:t>Live game advantage: In the actual game, demand is revealed each period. The policy automatically adapts through the inventory state - high revealed demand depletes inventory, causing higher recommended orders next period. This reactive behavior is not captured in deterministic backtests.</w:t>
      </w:r>
    </w:p>
    <w:p>
      <w:r>
        <w:br w:type="page"/>
      </w:r>
    </w:p>
    <w:p>
      <w:pPr>
        <w:pStyle w:val="Heading1"/>
      </w:pPr>
      <w:r>
        <w:t>7. How to Run the Live Game</w:t>
      </w:r>
    </w:p>
    <w:p>
      <w:pPr>
        <w:pStyle w:val="Heading2"/>
      </w:pPr>
      <w:r>
        <w:t>7.1 Prerequisites</w:t>
      </w:r>
    </w:p>
    <w:p>
      <w:r>
        <w:t>Python 3.8+ with the following packages: pandas, numpy, lightgbm, python-docx (for this report).</w:t>
      </w:r>
    </w:p>
    <w:p>
      <w:pPr>
        <w:pStyle w:val="Heading2"/>
      </w:pPr>
      <w:r>
        <w:t>7.2 Running the Game</w:t>
      </w:r>
    </w:p>
    <w:p>
      <w:r>
        <w:rPr>
          <w:rFonts w:ascii="Consolas" w:hAnsi="Consolas"/>
          <w:b/>
          <w:sz w:val="22"/>
        </w:rPr>
        <w:t>python play_game.py</w:t>
      </w:r>
    </w:p>
    <w:p/>
    <w:p>
      <w:r>
        <w:t>The script loads in ~2 seconds, then presents an interactive prompt for each of the 26 periods. For each period, it displays:</w:t>
      </w:r>
    </w:p>
    <w:p>
      <w:pPr>
        <w:pStyle w:val="ListBullet"/>
      </w:pPr>
      <w:r>
        <w:t>Current date, day-of-week, promo status, and price.</w:t>
      </w:r>
    </w:p>
    <w:p>
      <w:pPr>
        <w:pStyle w:val="ListBullet"/>
      </w:pPr>
      <w:r>
        <w:t>On-hand inventory by age cohort: [age_0, age_1].</w:t>
      </w:r>
    </w:p>
    <w:p>
      <w:pPr>
        <w:pStyle w:val="ListBullet"/>
      </w:pPr>
      <w:r>
        <w:t>Pipeline: [arriving next period, arriving in 2 periods].</w:t>
      </w:r>
    </w:p>
    <w:p>
      <w:pPr>
        <w:pStyle w:val="ListBullet"/>
      </w:pPr>
      <w:r>
        <w:t>Demand forecast: mean, q50, q75, q90, q95.</w:t>
      </w:r>
    </w:p>
    <w:p>
      <w:pPr>
        <w:pStyle w:val="ListBullet"/>
      </w:pPr>
      <w:r>
        <w:t>Recommended order quantity (computed by the policy).</w:t>
      </w:r>
    </w:p>
    <w:p/>
    <w:p>
      <w:r>
        <w:t>You can accept the recommended order (press Enter) or type a different quantity. After entering the revealed demand, the engine simulates the period and shows results including units sold, shortages, expiry, and the period cost breakdown.</w:t>
      </w:r>
    </w:p>
    <w:p>
      <w:r>
        <w:br w:type="page"/>
      </w:r>
    </w:p>
    <w:p>
      <w:pPr>
        <w:pStyle w:val="Heading1"/>
      </w:pPr>
      <w:r>
        <w:t>8. Key Design Decisions</w:t>
      </w:r>
    </w:p>
    <w:p>
      <w:pPr>
        <w:pStyle w:val="Heading2"/>
      </w:pPr>
      <w:r>
        <w:t>8.1 Why LightGBM Quantile Regression?</w:t>
      </w:r>
    </w:p>
    <w:p>
      <w:r>
        <w:t>Several alternatives were considered:</w:t>
      </w:r>
    </w:p>
    <w:p>
      <w:pPr>
        <w:pStyle w:val="ListBullet"/>
      </w:pPr>
      <w:r>
        <w:t>Parametric distributions (Poisson, Negative Binomial): The data is overdispersed (variance/mean = 3.66), and demand has complex interactions (day-of-week x promo x price) that parametric models would miss without manual interaction terms.</w:t>
      </w:r>
    </w:p>
    <w:p>
      <w:pPr>
        <w:pStyle w:val="ListBullet"/>
      </w:pPr>
      <w:r>
        <w:t>Deep learning (LSTMs, transformers): With only 1,165 training rows and 8 features, deep models would overfit. The weak autocorrelation (0.17) means sequential models add little value over feature-based approaches.</w:t>
      </w:r>
    </w:p>
    <w:p>
      <w:pPr>
        <w:pStyle w:val="ListBullet"/>
      </w:pPr>
      <w:r>
        <w:t>LightGBM quantile regression wins because it: (a) directly outputs quantiles without distributional assumptions, (b) handles feature interactions automatically, (c) trains in under 1 second, and (d) is robust with small datasets when properly regularized.</w:t>
      </w:r>
    </w:p>
    <w:p>
      <w:pPr>
        <w:pStyle w:val="Heading2"/>
      </w:pPr>
      <w:r>
        <w:t>8.2 Why Not Reinforcement Learning?</w:t>
      </w:r>
    </w:p>
    <w:p>
      <w:r>
        <w:t>With only 26 game periods and a 2-period look-ahead, the myopic newsvendor heuristic (adjusted for perishability) is near-optimal. The state space is small enough for an analytical policy. RL would require thousands of training episodes to converge and would be slower to execute during live play. The speed requirement ("fast to compute, used live in class") further favors our lightweight approach.</w:t>
      </w:r>
    </w:p>
    <w:p>
      <w:pPr>
        <w:pStyle w:val="Heading2"/>
      </w:pPr>
      <w:r>
        <w:t>8.3 Why Single-SKU Training?</w:t>
      </w:r>
    </w:p>
    <w:p>
      <w:r>
        <w:t>The dataset includes 5 additional SKUs. However, the two same-subgroup SKUs (109) have substantially different mean demand levels (6.86 and 2.89 vs. 5.00 for our target). Pooling would blur the demand signal without clear benefit, as 1,165 training rows is already sufficient for 8 features. Including different subgroup SKUs (125) would add noise from different product characteristics.</w:t>
      </w:r>
    </w:p>
    <w:p>
      <w:pPr>
        <w:pStyle w:val="Heading2"/>
      </w:pPr>
      <w:r>
        <w:t>8.4 Cost Asymmetry Rationale</w:t>
      </w:r>
    </w:p>
    <w:p>
      <w:r>
        <w:t>The entire policy is driven by the massive cost asymmetry: shortage (19) &gt;&gt; holding (1). This 19:1 ratio means that one unit of shortage costs the same as holding 19 units for one period. Even the expiry cost (9) is less than half the shortage cost. Therefore, our policy deliberately errs on the side of over-ordering. The only constraint on this aggression is the shelf life: units that cannot possibly be sold in 2 periods will expire at cost 9, which is still expensive enough to warrant the maximum-useful cap in our ordering logic.</w:t>
      </w:r>
    </w:p>
    <w:p>
      <w:pPr>
        <w:pStyle w:val="Heading2"/>
      </w:pPr>
      <w:r>
        <w:t>8.5 Architecture Summary</w:t>
      </w:r>
    </w:p>
    <w:p>
      <w:r>
        <w:t>The solution is organized into three clean, modular Python files: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rPr>
              <w:t>File</w:t>
            </w:r>
          </w:p>
        </w:tc>
        <w:tc>
          <w:tcPr>
            <w:tcW w:type="dxa" w:w="2880"/>
          </w:tcPr>
          <w:p>
            <w:r>
              <w:rPr>
                <w:b/>
              </w:rPr>
              <w:t>Purpose</w:t>
            </w:r>
          </w:p>
        </w:tc>
        <w:tc>
          <w:tcPr>
            <w:tcW w:type="dxa" w:w="2880"/>
          </w:tcPr>
          <w:p>
            <w:r>
              <w:rPr>
                <w:b/>
              </w:rPr>
              <w:t>Key Class/Function</w:t>
            </w:r>
          </w:p>
        </w:tc>
      </w:tr>
      <w:tr>
        <w:tc>
          <w:tcPr>
            <w:tcW w:type="dxa" w:w="2880"/>
          </w:tcPr>
          <w:p>
            <w:r>
              <w:t>demand_model.py</w:t>
            </w:r>
          </w:p>
        </w:tc>
        <w:tc>
          <w:tcPr>
            <w:tcW w:type="dxa" w:w="2880"/>
          </w:tcPr>
          <w:p>
            <w:r>
              <w:t>Demand forecasting</w:t>
            </w:r>
          </w:p>
        </w:tc>
        <w:tc>
          <w:tcPr>
            <w:tcW w:type="dxa" w:w="2880"/>
          </w:tcPr>
          <w:p>
            <w:r>
              <w:t>DemandForecaster (fit, predict_quantiles)</w:t>
            </w:r>
          </w:p>
        </w:tc>
      </w:tr>
      <w:tr>
        <w:tc>
          <w:tcPr>
            <w:tcW w:type="dxa" w:w="2880"/>
          </w:tcPr>
          <w:p>
            <w:r>
              <w:t>inventory_engine.py</w:t>
            </w:r>
          </w:p>
        </w:tc>
        <w:tc>
          <w:tcPr>
            <w:tcW w:type="dxa" w:w="2880"/>
          </w:tcPr>
          <w:p>
            <w:r>
              <w:t>Inventory simulation</w:t>
            </w:r>
          </w:p>
        </w:tc>
        <w:tc>
          <w:tcPr>
            <w:tcW w:type="dxa" w:w="2880"/>
          </w:tcPr>
          <w:p>
            <w:r>
              <w:t>PerishableInventory (step, get_state)</w:t>
            </w:r>
          </w:p>
        </w:tc>
      </w:tr>
      <w:tr>
        <w:tc>
          <w:tcPr>
            <w:tcW w:type="dxa" w:w="2880"/>
          </w:tcPr>
          <w:p>
            <w:r>
              <w:t>play_game.py</w:t>
            </w:r>
          </w:p>
        </w:tc>
        <w:tc>
          <w:tcPr>
            <w:tcW w:type="dxa" w:w="2880"/>
          </w:tcPr>
          <w:p>
            <w:r>
              <w:t>Live game interface</w:t>
            </w:r>
          </w:p>
        </w:tc>
        <w:tc>
          <w:tcPr>
            <w:tcW w:type="dxa" w:w="2880"/>
          </w:tcPr>
          <w:p>
            <w:r>
              <w:t>compute_recommended_order, main loop</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5A9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5A9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5A9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