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Get a change in rules when talking with DCF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Get a change in rules when talking with DCF.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 xml:space="preserve">You will receive a response from DCF about whether they will.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 xml:space="preserve"/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