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MyDancr California Privacy Notice</w:t>
      </w:r>
    </w:p>
    <w:p>
      <w:pPr/>
      <w:r>
        <w:t>Last updated: October 30, 2026</w:t>
      </w:r>
    </w:p>
    <w:p>
      <w:pPr/>
      <w:r>
        <w:t xml:space="preserve">This notice supplements the </w:t>
      </w:r>
      <w:hyperlink r:id="rId9">
        <w:r>
          <w:rPr>
            <w:color w:val="0000FF"/>
            <w:u w:val="single"/>
            <w:sz w:val="22"/>
            <w:szCs w:val="22"/>
            <w:rFonts w:ascii="Calibri" w:hAnsi="Calibri"/>
          </w:rPr>
          <w:t>Privacy Policy</w:t>
        </w:r>
      </w:hyperlink>
      <w:r>
        <w:t xml:space="preserve"> for California personal information. MyDancr LLC provides these disclosures for its current service. Statutory rights apply when MyDancr and the processing fall within the California Consumer Privacy Act, as amended (“</w:t>
      </w:r>
      <w:r>
        <w:rPr>
          <w:b/>
        </w:rPr>
        <w:t>CCPA</w:t>
      </w:r>
      <w:r>
        <w:t>”), and subject to its exceptions. We accept privacy requests even when a particular statutory right does not apply.</w:t>
      </w:r>
    </w:p>
    <w:p>
      <w:pPr>
        <w:pStyle w:val="Heading1"/>
      </w:pPr>
      <w:r>
        <w:t>1 Categories sources and disclosures</w:t>
      </w:r>
    </w:p>
    <w:p>
      <w:pPr/>
      <w:r>
        <w:t>The following categories describe collection during the preceding 12 months to the extent the relevant feature operated during that period. If a feature has operated for less than 12 months, the disclosures cover that shorter period. Ondato verification collection is included even where the raw file is held by the provider rather than retained by MyDancr.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800"/>
        <w:gridCol w:w="4392"/>
        <w:gridCol w:w="3168"/>
      </w:tblGrid>
      <w:tr>
        <w:trPr>
          <w:tblHeader/>
          <w:cantSplit/>
        </w:trPr>
        <w:tc>
          <w:tcPr>
            <w:tcW w:type="dxa" w:w="1800"/>
            <w:shd w:fill="EEEEEE"/>
          </w:tcPr>
          <w:p>
            <w:pPr>
              <w:spacing w:after="100"/>
            </w:pPr>
            <w:r>
              <w:rPr>
                <w:b/>
              </w:rPr>
              <w:t>Category</w:t>
            </w:r>
          </w:p>
        </w:tc>
        <w:tc>
          <w:tcPr>
            <w:tcW w:type="dxa" w:w="4392"/>
            <w:shd w:fill="EEEEEE"/>
          </w:tcPr>
          <w:p>
            <w:pPr>
              <w:spacing w:after="100"/>
            </w:pPr>
            <w:r>
              <w:rPr>
                <w:b/>
              </w:rPr>
              <w:t>Collected information and purpose</w:t>
            </w:r>
          </w:p>
        </w:tc>
        <w:tc>
          <w:tcPr>
            <w:tcW w:type="dxa" w:w="3168"/>
            <w:shd w:fill="EEEEEE"/>
          </w:tcPr>
          <w:p>
            <w:pPr>
              <w:spacing w:after="100"/>
            </w:pPr>
            <w:r>
              <w:rPr>
                <w:b/>
              </w:rPr>
              <w:t>Business purpose recipients</w:t>
            </w:r>
          </w:p>
        </w:tc>
      </w:tr>
      <w:tr>
        <w:trPr>
          <w:cantSplit/>
        </w:trPr>
        <w:tc>
          <w:tcPr>
            <w:tcW w:type="dxa" w:w="1800"/>
          </w:tcPr>
          <w:p>
            <w:pPr>
              <w:spacing w:after="100"/>
            </w:pPr>
            <w:r>
              <w:t>Identifiers</w:t>
            </w:r>
          </w:p>
        </w:tc>
        <w:tc>
          <w:tcPr>
            <w:tcW w:type="dxa" w:w="4392"/>
          </w:tcPr>
          <w:p>
            <w:pPr>
              <w:spacing w:after="100"/>
            </w:pPr>
            <w:r>
              <w:t>Yes. Name, stage/display name, email, phone where supplied, account and invitation references, IP address, ID information through verification; access, requests, eligibility, support, and security.</w:t>
            </w:r>
          </w:p>
        </w:tc>
        <w:tc>
          <w:tcPr>
            <w:tcW w:type="dxa" w:w="3168"/>
          </w:tcPr>
          <w:p>
            <w:pPr>
              <w:spacing w:after="100"/>
            </w:pPr>
            <w:r>
              <w:t>Authentication, hosting, communications, verification and security providers; selected clubs and authorized users for the feature; public audiences for chosen public fields.</w:t>
            </w:r>
          </w:p>
        </w:tc>
      </w:tr>
      <w:tr>
        <w:trPr>
          <w:cantSplit/>
        </w:trPr>
        <w:tc>
          <w:tcPr>
            <w:tcW w:type="dxa" w:w="1800"/>
          </w:tcPr>
          <w:p>
            <w:pPr>
              <w:spacing w:after="100"/>
            </w:pPr>
            <w:r>
              <w:t>California customer records</w:t>
            </w:r>
          </w:p>
        </w:tc>
        <w:tc>
          <w:tcPr>
            <w:tcW w:type="dxa" w:w="4392"/>
          </w:tcPr>
          <w:p>
            <w:pPr>
              <w:spacing w:after="100"/>
            </w:pPr>
            <w:r>
              <w:t>Yes. Contact, identity, club business and billing details where relevant; request and account administration. No dancer-service payment account is offered.</w:t>
            </w:r>
          </w:p>
        </w:tc>
        <w:tc>
          <w:tcPr>
            <w:tcW w:type="dxa" w:w="3168"/>
          </w:tcPr>
          <w:p>
            <w:pPr>
              <w:spacing w:after="100"/>
            </w:pPr>
            <w:r>
              <w:t>Relevant operational providers and selected club recipients; payment provider for club billing.</w:t>
            </w:r>
          </w:p>
        </w:tc>
      </w:tr>
      <w:tr>
        <w:trPr>
          <w:cantSplit/>
        </w:trPr>
        <w:tc>
          <w:tcPr>
            <w:tcW w:type="dxa" w:w="1800"/>
          </w:tcPr>
          <w:p>
            <w:pPr>
              <w:spacing w:after="100"/>
            </w:pPr>
            <w:r>
              <w:t>Protected classifications</w:t>
            </w:r>
          </w:p>
        </w:tc>
        <w:tc>
          <w:tcPr>
            <w:tcW w:type="dxa" w:w="4392"/>
          </w:tcPr>
          <w:p>
            <w:pPr>
              <w:spacing w:after="100"/>
            </w:pPr>
            <w:r>
              <w:t>Limited. Age and birth date through verification and other classification information present in submitted ID, where processed for verification. We do not use this information to infer unrelated sensitive traits.</w:t>
            </w:r>
          </w:p>
        </w:tc>
        <w:tc>
          <w:tcPr>
            <w:tcW w:type="dxa" w:w="3168"/>
          </w:tcPr>
          <w:p>
            <w:pPr>
              <w:spacing w:after="100"/>
            </w:pPr>
            <w:r>
              <w:t>Ondato and restricted authorized verification, support, security, or legal recipients.</w:t>
            </w:r>
          </w:p>
        </w:tc>
      </w:tr>
      <w:tr>
        <w:trPr>
          <w:cantSplit/>
        </w:trPr>
        <w:tc>
          <w:tcPr>
            <w:tcW w:type="dxa" w:w="1800"/>
          </w:tcPr>
          <w:p>
            <w:pPr>
              <w:spacing w:after="100"/>
            </w:pPr>
            <w:r>
              <w:t>Commercial information</w:t>
            </w:r>
          </w:p>
        </w:tc>
        <w:tc>
          <w:tcPr>
            <w:tcW w:type="dxa" w:w="4392"/>
          </w:tcPr>
          <w:p>
            <w:pPr>
              <w:spacing w:after="100"/>
            </w:pPr>
            <w:r>
              <w:t>Yes. Club subscriptions and Orders; admission pass, offer, saved-item, request and related service activity.</w:t>
            </w:r>
          </w:p>
        </w:tc>
        <w:tc>
          <w:tcPr>
            <w:tcW w:type="dxa" w:w="3168"/>
          </w:tcPr>
          <w:p>
            <w:pPr>
              <w:spacing w:after="100"/>
            </w:pPr>
            <w:r>
              <w:t>Operational providers; selected club recipients for the feature and relevant results.</w:t>
            </w:r>
          </w:p>
        </w:tc>
      </w:tr>
      <w:tr>
        <w:trPr>
          <w:cantSplit/>
        </w:trPr>
        <w:tc>
          <w:tcPr>
            <w:tcW w:type="dxa" w:w="1800"/>
          </w:tcPr>
          <w:p>
            <w:pPr>
              <w:spacing w:after="100"/>
            </w:pPr>
            <w:r>
              <w:t>Biometric information</w:t>
            </w:r>
          </w:p>
        </w:tc>
        <w:tc>
          <w:tcPr>
            <w:tcW w:type="dxa" w:w="4392"/>
          </w:tcPr>
          <w:p>
            <w:pPr>
              <w:spacing w:after="100"/>
            </w:pPr>
            <w:r>
              <w:t>Yes. Facial comparison and liveness processing for identity and age verification; no retained derived facial templates or measurements under the confirmed Ondato setting.</w:t>
            </w:r>
          </w:p>
        </w:tc>
        <w:tc>
          <w:tcPr>
            <w:tcW w:type="dxa" w:w="3168"/>
          </w:tcPr>
          <w:p>
            <w:pPr>
              <w:spacing w:after="100"/>
            </w:pPr>
            <w:r>
              <w:t>Ondato and restricted authorized verification, support, security, or legal recipients. Not public media or analytics inputs.</w:t>
            </w:r>
          </w:p>
        </w:tc>
      </w:tr>
      <w:tr>
        <w:trPr>
          <w:cantSplit/>
        </w:trPr>
        <w:tc>
          <w:tcPr>
            <w:tcW w:type="dxa" w:w="1800"/>
          </w:tcPr>
          <w:p>
            <w:pPr>
              <w:spacing w:after="100"/>
            </w:pPr>
            <w:r>
              <w:t>Internet or network activity</w:t>
            </w:r>
          </w:p>
        </w:tc>
        <w:tc>
          <w:tcPr>
            <w:tcW w:type="dxa" w:w="4392"/>
          </w:tcPr>
          <w:p>
            <w:pPr>
              <w:spacing w:after="100"/>
            </w:pPr>
            <w:r>
              <w:t>Yes. Sessions, browser information, views, follows, clicks, shares, media interactions, errors, security and preference events.</w:t>
            </w:r>
          </w:p>
        </w:tc>
        <w:tc>
          <w:tcPr>
            <w:tcW w:type="dxa" w:w="3168"/>
          </w:tcPr>
          <w:p>
            <w:pPr>
              <w:spacing w:after="100"/>
            </w:pPr>
            <w:r>
              <w:t>Hosting, authentication, security, communications and related service providers; selected clubs for the permitted operational metrics.</w:t>
            </w:r>
          </w:p>
        </w:tc>
      </w:tr>
      <w:tr>
        <w:trPr>
          <w:cantSplit/>
        </w:trPr>
        <w:tc>
          <w:tcPr>
            <w:tcW w:type="dxa" w:w="1800"/>
          </w:tcPr>
          <w:p>
            <w:pPr>
              <w:spacing w:after="100"/>
            </w:pPr>
            <w:r>
              <w:t>Geolocation information</w:t>
            </w:r>
          </w:p>
        </w:tc>
        <w:tc>
          <w:tcPr>
            <w:tcW w:type="dxa" w:w="4392"/>
          </w:tcPr>
          <w:p>
            <w:pPr>
              <w:spacing w:after="100"/>
            </w:pPr>
            <w:r>
              <w:t>Yes. IP-based approximate location, device location for an enabled feature with the applicable permission, selected city, club check-in location and time, and supplied pickup location. NFC does not track continuous or background location.</w:t>
            </w:r>
          </w:p>
        </w:tc>
        <w:tc>
          <w:tcPr>
            <w:tcW w:type="dxa" w:w="3168"/>
          </w:tcPr>
          <w:p>
            <w:pPr>
              <w:spacing w:after="100"/>
            </w:pPr>
            <w:r>
              <w:t>Relevant operational providers and selected club recipients for the feature.</w:t>
            </w:r>
          </w:p>
        </w:tc>
      </w:tr>
      <w:tr>
        <w:trPr>
          <w:cantSplit/>
        </w:trPr>
        <w:tc>
          <w:tcPr>
            <w:tcW w:type="dxa" w:w="1800"/>
          </w:tcPr>
          <w:p>
            <w:pPr>
              <w:spacing w:after="100"/>
            </w:pPr>
            <w:r>
              <w:t>Audio visual and similar information</w:t>
            </w:r>
          </w:p>
        </w:tc>
        <w:tc>
          <w:tcPr>
            <w:tcW w:type="dxa" w:w="4392"/>
          </w:tcPr>
          <w:p>
            <w:pPr>
              <w:spacing w:after="100"/>
            </w:pPr>
            <w:r>
              <w:t>Yes. Profile photos and videos, audio/captions used for moderation, verification images or video, and relevant support submissions.</w:t>
            </w:r>
          </w:p>
        </w:tc>
        <w:tc>
          <w:tcPr>
            <w:tcW w:type="dxa" w:w="3168"/>
          </w:tcPr>
          <w:p>
            <w:pPr>
              <w:spacing w:after="100"/>
            </w:pPr>
            <w:r>
              <w:t>Moderation, verification, hosting and support providers; authorized reviewers; eligible public or private audiences according to visibility.</w:t>
            </w:r>
          </w:p>
        </w:tc>
      </w:tr>
      <w:tr>
        <w:trPr>
          <w:cantSplit/>
        </w:trPr>
        <w:tc>
          <w:tcPr>
            <w:tcW w:type="dxa" w:w="1800"/>
          </w:tcPr>
          <w:p>
            <w:pPr>
              <w:spacing w:after="100"/>
            </w:pPr>
            <w:r>
              <w:t>Professional information</w:t>
            </w:r>
          </w:p>
        </w:tc>
        <w:tc>
          <w:tcPr>
            <w:tcW w:type="dxa" w:w="4392"/>
          </w:tcPr>
          <w:p>
            <w:pPr>
              <w:spacing w:after="100"/>
            </w:pPr>
            <w:r>
              <w:t>Limited. Club representative role and authority; dancer affiliations, schedules, recorded check-in activity, and related operational results.</w:t>
            </w:r>
          </w:p>
        </w:tc>
        <w:tc>
          <w:tcPr>
            <w:tcW w:type="dxa" w:w="3168"/>
          </w:tcPr>
          <w:p>
            <w:pPr>
              <w:spacing w:after="100"/>
            </w:pPr>
            <w:r>
              <w:t>Authorized club and MyDancr users and operational providers; public fields only as the dancer’s visibility permits.</w:t>
            </w:r>
          </w:p>
        </w:tc>
      </w:tr>
      <w:tr>
        <w:trPr>
          <w:cantSplit/>
        </w:trPr>
        <w:tc>
          <w:tcPr>
            <w:tcW w:type="dxa" w:w="1800"/>
          </w:tcPr>
          <w:p>
            <w:pPr>
              <w:spacing w:after="100"/>
            </w:pPr>
            <w:r>
              <w:t>Nonpublic education information</w:t>
            </w:r>
          </w:p>
        </w:tc>
        <w:tc>
          <w:tcPr>
            <w:tcW w:type="dxa" w:w="4392"/>
          </w:tcPr>
          <w:p>
            <w:pPr>
              <w:spacing w:after="100"/>
            </w:pPr>
            <w:r>
              <w:t>Not collected through ordinary service features. Do not submit school records through the service.</w:t>
            </w:r>
          </w:p>
        </w:tc>
        <w:tc>
          <w:tcPr>
            <w:tcW w:type="dxa" w:w="3168"/>
          </w:tcPr>
          <w:p>
            <w:pPr>
              <w:spacing w:after="100"/>
            </w:pPr>
            <w:r>
              <w:t>None for a dedicated education-data feature.</w:t>
            </w:r>
          </w:p>
        </w:tc>
      </w:tr>
      <w:tr>
        <w:trPr>
          <w:cantSplit/>
        </w:trPr>
        <w:tc>
          <w:tcPr>
            <w:tcW w:type="dxa" w:w="1800"/>
          </w:tcPr>
          <w:p>
            <w:pPr>
              <w:spacing w:after="100"/>
            </w:pPr>
            <w:r>
              <w:t>Inferences</w:t>
            </w:r>
          </w:p>
        </w:tc>
        <w:tc>
          <w:tcPr>
            <w:tcW w:type="dxa" w:w="4392"/>
          </w:tcPr>
          <w:p>
            <w:pPr>
              <w:spacing w:after="100"/>
            </w:pPr>
            <w:r>
              <w:t>Yes where available. Activity measures, scores, comparative rankings, and visible appearance estimates such as hair color, for the described club and profile functions.</w:t>
            </w:r>
          </w:p>
        </w:tc>
        <w:tc>
          <w:tcPr>
            <w:tcW w:type="dxa" w:w="3168"/>
          </w:tcPr>
          <w:p>
            <w:pPr>
              <w:spacing w:after="100"/>
            </w:pPr>
            <w:r>
              <w:t>Relevant operational providers; authorized club and dancer dashboards. No unrelated sensitive-characteristic profiling.</w:t>
            </w:r>
          </w:p>
        </w:tc>
      </w:tr>
      <w:tr>
        <w:trPr>
          <w:cantSplit/>
        </w:trPr>
        <w:tc>
          <w:tcPr>
            <w:tcW w:type="dxa" w:w="1800"/>
          </w:tcPr>
          <w:p>
            <w:pPr>
              <w:spacing w:after="100"/>
            </w:pPr>
            <w:r>
              <w:t>Sensitive personal information</w:t>
            </w:r>
          </w:p>
        </w:tc>
        <w:tc>
          <w:tcPr>
            <w:tcW w:type="dxa" w:w="4392"/>
          </w:tcPr>
          <w:p>
            <w:pPr>
              <w:spacing w:after="100"/>
            </w:pPr>
            <w:r>
              <w:t>Yes where applicable. ID document numbers, authentication credentials, and biometric identification processing; other sensitive information only if present in an authorized submission or legally required case record.</w:t>
            </w:r>
          </w:p>
        </w:tc>
        <w:tc>
          <w:tcPr>
            <w:tcW w:type="dxa" w:w="3168"/>
          </w:tcPr>
          <w:p>
            <w:pPr>
              <w:spacing w:after="100"/>
            </w:pPr>
            <w:r>
              <w:t>Restricted providers and personnel for eligibility, requested service, security, support, and legal purposes. Not sold or used for targeted advertising.</w:t>
            </w:r>
          </w:p>
        </w:tc>
      </w:tr>
    </w:tbl>
    <w:p>
      <w:pPr>
        <w:spacing w:after="0"/>
      </w:pPr>
    </w:p>
    <w:p>
      <w:pPr/>
      <w:r>
        <w:t>Sources are you, service interactions and technical records, participating clubs, and the verification and operational providers described in the Privacy Policy. The purposes include account and eligibility administration, requested features, media moderation, activity analysis, selected communications, support, security, legal compliance, and claims. Public sharing is limited to eligible content and fields, not verification files or private guest follow lists.</w:t>
      </w:r>
    </w:p>
    <w:p>
      <w:pPr>
        <w:pStyle w:val="Heading1"/>
      </w:pPr>
      <w:r>
        <w:t>2 Sale sharing and sensitive uses</w:t>
      </w:r>
    </w:p>
    <w:p>
      <w:pPr/>
      <w:r>
        <w:t>MyDancr does not sell personal information or share it for cross-context behavioral advertising, and has not done so during the period covered by this notice. We do not knowingly sell or share information of people under 16. We do not use sensitive personal information to infer unrelated characteristics or for purposes outside the permitted eligibility, requested-service, security, support, and legal uses described in the Privacy Policy.</w:t>
      </w:r>
    </w:p>
    <w:p>
      <w:pPr/>
      <w:r>
        <w:t>If we introduce a sale, sharing, or sensitive use requiring a limitation right, we will provide the required notice and opt-out or limitation mechanism before that activity begins and will honor applicable opt-out preference signals, including Global Privacy Control. An opt-out does not require a verified identity. Browser Do Not Track and an email unsubscribe are different controls. Optional club sharing and channel-specific marketing permissions remain separate from ordinary request fulfillment.</w:t>
      </w:r>
    </w:p>
    <w:p>
      <w:pPr>
        <w:pStyle w:val="Heading1"/>
      </w:pPr>
      <w:r>
        <w:t>3 Retention</w:t>
      </w:r>
    </w:p>
    <w:p>
      <w:pPr/>
      <w:r>
        <w:t>The retention table in section 6 of the Privacy Policy supplies the periods or criteria for these categories. Ondato’s identifiable verification files follow its 30-day setting. MyDancr’s own limited verification result record is limited to the active account and up to 3 years after closure, deleting earlier when no longer needed or legally required. It excludes raw ID and selfie copies, full birth date, document numbers, and detailed face-match data. Biometric information must be destroyed when the verification purpose is satisfied or by the applicable legal deadline, whichever comes first. That rule does not extend the vendor’s 30-day period.</w:t>
      </w:r>
    </w:p>
    <w:p>
      <w:pPr/>
      <w:r>
        <w:t>The separate consent record follows the criteria in that table and contains no verification outcome, vendor transaction reference, raw verification files, or biometric information; it does not extend those periods. Other records are kept only for their reasonably necessary account, requested-feature, accounting, consent-evidence, security, support, claim, or specific legal purpose. Removal ends ordinary display; a lawful restricted record does not authorize continued promotion. A recorded, legally applicable hold can preserve specified records until its basis ends.</w:t>
      </w:r>
    </w:p>
    <w:p>
      <w:pPr>
        <w:pStyle w:val="Heading1"/>
      </w:pPr>
      <w:r>
        <w:t>4 Rights and request process</w:t>
      </w:r>
    </w:p>
    <w:p>
      <w:pPr/>
      <w:r>
        <w:t>When the CCPA applies, you can request the categories and specific pieces of personal information collected, sources, purposes, and categories of recipients; applicable information about sale, sharing, and business-purpose disclosure; correction; deletion; and a portable copy where required. Access is not automatically limited to 12 months: information collected on or after January 1, 2022 can be requested for a longer period subject to the law’s exceptions. You can opt out of sale/sharing and limit covered sensitive uses when those activities occur. You have the right not to be unlawfully discriminated or retaliated against.</w:t>
      </w:r>
    </w:p>
    <w:p>
      <w:pPr/>
      <w:r>
        <w:t xml:space="preserve">Email </w:t>
      </w:r>
      <w:hyperlink r:id="rId10">
        <w:r>
          <w:rPr>
            <w:color w:val="0000FF"/>
            <w:u w:val="single"/>
            <w:sz w:val="22"/>
            <w:szCs w:val="22"/>
            <w:rFonts w:ascii="Calibri" w:hAnsi="Calibri"/>
          </w:rPr>
          <w:t>support@mydancr.com</w:t>
        </w:r>
      </w:hyperlink>
      <w:r>
        <w:t xml:space="preserve"> or write to MyDancr LLC, 30 N Gould St STE R, Sheridan, WY 82801 and identify the action requested and enough information to locate the record. Available account controls also support updates and closure. No new account is required. We use reasonable, proportionate identity verification for requests that require it and do not require identity verification for sale/sharing opt-outs or sensitive-use limitation requests.</w:t>
      </w:r>
    </w:p>
    <w:p>
      <w:pPr/>
      <w:r>
        <w:t>An authorized natural person or business entity may act for you as law permits. We may require evidence of authority and direct confirmation or verification where permitted. A power of attorney is handled under applicable law; we do not require an agent to register with the California Secretary of State.</w:t>
      </w:r>
    </w:p>
    <w:p>
      <w:pPr/>
      <w:r>
        <w:t>For requests to know, correct, or delete, we confirm receipt and provide the required handling information no later than 10 business days after receipt and generally respond no later than 45 days after receipt. If a permitted extension is reasonably necessary, we explain it during the first 45 days and respond no later than 90 days after receipt. Different statutory periods apply to other request types. We explain a denial or partial denial as required and protect other people’s rights and confidential information.</w:t>
      </w:r>
    </w:p>
    <w:p>
      <w:pPr/>
      <w:r>
        <w:t xml:space="preserve">Available scores and appearance analytics are described in the Privacy Policy. We provide correction and review through </w:t>
      </w:r>
      <w:hyperlink r:id="rId10">
        <w:r>
          <w:rPr>
            <w:color w:val="0000FF"/>
            <w:u w:val="single"/>
            <w:sz w:val="22"/>
            <w:szCs w:val="22"/>
            <w:rFonts w:ascii="Calibri" w:hAnsi="Calibri"/>
          </w:rPr>
          <w:t>support@mydancr.com</w:t>
        </w:r>
      </w:hyperlink>
      <w:r>
        <w:t>. Where the CCPA’s automated-decision rules apply to a covered significant decision, we will provide the required notices, access, opt-out, and review rights by the applicable compliance dates. An activity score is not necessarily a covered significant decision. Our club terms require meaningful independent review before outputs are used to make decisions affecting a person.</w:t>
      </w:r>
    </w:p>
    <w:p>
      <w:pPr/>
      <w:r>
        <w:t xml:space="preserve">For a privacy decision you wish to challenge, reply to our response or email </w:t>
      </w:r>
      <w:hyperlink r:id="rId10">
        <w:r>
          <w:rPr>
            <w:color w:val="0000FF"/>
            <w:u w:val="single"/>
            <w:sz w:val="22"/>
            <w:szCs w:val="22"/>
            <w:rFonts w:ascii="Calibri" w:hAnsi="Calibri"/>
          </w:rPr>
          <w:t>support@mydancr.com</w:t>
        </w:r>
      </w:hyperlink>
      <w:r>
        <w:t xml:space="preserve"> with “Privacy appeal” and the reference. California law does not supply every appeal right available under other states’ laws, but we accept a request to review our decision. You may also contact the California Privacy Protection Agency or California Attorney General. Contact us for an accessible copy or direct-marketing disclosure information under California Civil Code section 1798.83.</w:t>
      </w:r>
    </w:p>
    <w:sectPr>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jc w:val="left"/>
    </w:pPr>
    <w:rPr>
      <w:rFonts w:ascii="Calibri" w:hAnsi="Calibri"/>
      <w:b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HeaderChar">
    <w:name w:val="Header Char"/>
    <w:basedOn w:val="DefaultParagraphFont"/>
    <w:link w:val="Header"/>
    <w:uiPriority w:val="99"/>
    <w:rsid w:val="00E618BF"/>
    <w:rPr>
      <w:rFonts w:ascii="Calibri" w:hAnsi="Calibri"/>
      <w:b w:val="0"/>
      <w:color w:val="000000"/>
      <w:sz w:val="22"/>
    </w:rPr>
  </w:style>
  <w:style w:type="paragraph" w:styleId="Footer">
    <w:name w:val="footer"/>
    <w:basedOn w:val="Normal"/>
    <w:link w:val="FooterChar"/>
    <w:uiPriority w:val="99"/>
    <w:unhideWhenUsed/>
    <w:rsid w:val="00E618BF"/>
    <w:pPr>
      <w:widowControl/>
      <w:tabs>
        <w:tab w:val="center" w:pos="4680"/>
        <w:tab w:val="right" w:pos="9360"/>
      </w:tabs>
      <w:spacing w:after="200" w:line="240" w:lineRule="auto" w:before="0"/>
      <w:jc w:val="left"/>
    </w:pPr>
    <w:rPr>
      <w:rFonts w:ascii="Calibri" w:hAnsi="Calibri"/>
      <w:b w:val="0"/>
      <w:color w:val="000000"/>
      <w:sz w:val="22"/>
    </w:rPr>
  </w:style>
  <w:style w:type="character" w:customStyle="1" w:styleId="FooterChar">
    <w:name w:val="Footer Char"/>
    <w:basedOn w:val="DefaultParagraphFont"/>
    <w:link w:val="Footer"/>
    <w:uiPriority w:val="99"/>
    <w:rsid w:val="00E618BF"/>
    <w:rPr>
      <w:rFonts w:ascii="Calibri" w:hAnsi="Calibri"/>
      <w:b w:val="0"/>
      <w:color w:val="000000"/>
      <w:sz w:val="22"/>
    </w:rPr>
  </w:style>
  <w:style w:type="paragraph" w:styleId="Heading1">
    <w:name w:val="heading 1"/>
    <w:basedOn w:val="Normal"/>
    <w:next w:val="Normal"/>
    <w:link w:val="Heading1Char"/>
    <w:uiPriority w:val="9"/>
    <w:qFormat/>
    <w:rsid w:val="00FC693F"/>
    <w:pPr>
      <w:keepNext/>
      <w:keepLines/>
      <w:widowControl/>
      <w:spacing w:before="0" w:after="200" w:line="240" w:lineRule="auto"/>
      <w:jc w:val="left"/>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0" w:after="200" w:line="240" w:lineRule="auto"/>
      <w:jc w:val="left"/>
      <w:outlineLvl w:val="1"/>
    </w:pPr>
    <w:rPr>
      <w:rFonts w:asciiTheme="majorHAnsi" w:eastAsiaTheme="majorEastAsia" w:hAnsiTheme="majorHAnsi" w:cstheme="majorBidi" w:ascii="Calibri" w:hAnsi="Calibri"/>
      <w:b w:val="0"/>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0" w:after="200" w:line="240" w:lineRule="auto"/>
      <w:jc w:val="left"/>
      <w:outlineLvl w:val="2"/>
    </w:pPr>
    <w:rPr>
      <w:rFonts w:asciiTheme="majorHAnsi" w:eastAsiaTheme="majorEastAsia" w:hAnsiTheme="majorHAnsi" w:cstheme="majorBidi" w:ascii="Calibri" w:hAnsi="Calibri"/>
      <w:b w:val="0"/>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0" w:after="200" w:line="240" w:lineRule="auto"/>
      <w:jc w:val="left"/>
      <w:outlineLvl w:val="3"/>
    </w:pPr>
    <w:rPr>
      <w:rFonts w:asciiTheme="majorHAnsi" w:eastAsiaTheme="majorEastAsia" w:hAnsiTheme="majorHAnsi" w:cstheme="majorBidi" w:ascii="Calibri" w:hAnsi="Calibri"/>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widowControl/>
      <w:spacing w:before="0" w:after="200" w:line="240" w:lineRule="auto"/>
      <w:jc w:val="left"/>
      <w:outlineLvl w:val="4"/>
    </w:pPr>
    <w:rPr>
      <w:rFonts w:asciiTheme="majorHAnsi" w:eastAsiaTheme="majorEastAsia" w:hAnsiTheme="majorHAnsi" w:cstheme="majorBidi" w:ascii="Calibri" w:hAnsi="Calibri"/>
      <w:b w:val="0"/>
      <w:color w:val="000000"/>
      <w:sz w:val="22"/>
    </w:rPr>
  </w:style>
  <w:style w:type="paragraph" w:styleId="Heading6">
    <w:name w:val="heading 6"/>
    <w:basedOn w:val="Normal"/>
    <w:next w:val="Normal"/>
    <w:link w:val="Heading6Char"/>
    <w:uiPriority w:val="9"/>
    <w:semiHidden/>
    <w:unhideWhenUsed/>
    <w:qFormat/>
    <w:rsid w:val="00FC693F"/>
    <w:pPr>
      <w:keepNext/>
      <w:keepLines/>
      <w:widowControl/>
      <w:spacing w:before="0" w:after="200" w:line="240" w:lineRule="auto"/>
      <w:jc w:val="left"/>
      <w:outlineLvl w:val="5"/>
    </w:pPr>
    <w:rPr>
      <w:rFonts w:asciiTheme="majorHAnsi" w:eastAsiaTheme="majorEastAsia" w:hAnsiTheme="majorHAnsi" w:cstheme="majorBidi" w:ascii="Calibri" w:hAnsi="Calibri"/>
      <w:b w:val="0"/>
      <w:i/>
      <w:iCs/>
      <w:color w:val="000000"/>
      <w:sz w:val="22"/>
    </w:rPr>
  </w:style>
  <w:style w:type="paragraph" w:styleId="Heading7">
    <w:name w:val="heading 7"/>
    <w:basedOn w:val="Normal"/>
    <w:next w:val="Normal"/>
    <w:link w:val="Heading7Char"/>
    <w:uiPriority w:val="9"/>
    <w:semiHidden/>
    <w:unhideWhenUsed/>
    <w:qFormat/>
    <w:rsid w:val="00FC693F"/>
    <w:pPr>
      <w:keepNext/>
      <w:keepLines/>
      <w:widowControl/>
      <w:spacing w:before="0" w:after="200" w:line="240" w:lineRule="auto"/>
      <w:jc w:val="left"/>
      <w:outlineLvl w:val="6"/>
    </w:pPr>
    <w:rPr>
      <w:rFonts w:asciiTheme="majorHAnsi" w:eastAsiaTheme="majorEastAsia" w:hAnsiTheme="majorHAnsi" w:cstheme="majorBidi" w:ascii="Calibri" w:hAnsi="Calibri"/>
      <w:b w:val="0"/>
      <w:i/>
      <w:iCs/>
      <w:color w:val="000000"/>
      <w:sz w:val="22"/>
    </w:rPr>
  </w:style>
  <w:style w:type="paragraph" w:styleId="Heading8">
    <w:name w:val="heading 8"/>
    <w:basedOn w:val="Normal"/>
    <w:next w:val="Normal"/>
    <w:link w:val="Heading8Char"/>
    <w:uiPriority w:val="9"/>
    <w:semiHidden/>
    <w:unhideWhenUsed/>
    <w:qFormat/>
    <w:rsid w:val="00FC693F"/>
    <w:pPr>
      <w:keepNext/>
      <w:keepLines/>
      <w:widowControl/>
      <w:spacing w:before="0" w:after="200" w:line="240" w:lineRule="auto"/>
      <w:jc w:val="left"/>
      <w:outlineLvl w:val="7"/>
    </w:pPr>
    <w:rPr>
      <w:rFonts w:asciiTheme="majorHAnsi" w:eastAsiaTheme="majorEastAsia" w:hAnsiTheme="majorHAnsi" w:cstheme="majorBidi" w:ascii="Calibri" w:hAnsi="Calibri"/>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widowControl/>
      <w:spacing w:before="0" w:after="200" w:line="240" w:lineRule="auto"/>
      <w:jc w:val="left"/>
      <w:outlineLvl w:val="8"/>
    </w:pPr>
    <w:rPr>
      <w:rFonts w:asciiTheme="majorHAnsi" w:eastAsiaTheme="majorEastAsia" w:hAnsiTheme="majorHAnsi" w:cstheme="majorBidi" w:ascii="Calibri" w:hAnsi="Calibri"/>
      <w:b w:val="0"/>
      <w:i/>
      <w:iCs/>
      <w:color w:val="000000"/>
      <w:sz w:val="22"/>
      <w:szCs w:val="20"/>
    </w:rPr>
  </w:style>
  <w:style w:type="character" w:default="1" w:styleId="DefaultParagraphFont">
    <w:name w:val="Default Paragraph Font"/>
    <w:uiPriority w:val="1"/>
    <w:semiHidden/>
    <w:unhideWhenUsed/>
    <w:rPr>
      <w:rFonts w:ascii="Calibri" w:hAnsi="Calibri"/>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200" w:line="240" w:lineRule="auto" w:before="0"/>
      <w:jc w:val="left"/>
    </w:pPr>
    <w:rPr>
      <w:rFonts w:ascii="Calibri" w:hAnsi="Calibri"/>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000000"/>
      <w:sz w:val="22"/>
    </w:rPr>
  </w:style>
  <w:style w:type="paragraph" w:styleId="Title">
    <w:name w:val="Title"/>
    <w:basedOn w:val="Normal"/>
    <w:next w:val="Normal"/>
    <w:link w:val="TitleChar"/>
    <w:uiPriority w:val="10"/>
    <w:qFormat/>
    <w:rsid w:val="00FC693F"/>
    <w:pPr>
      <w:keepNext/>
      <w:widowControl/>
      <w:spacing w:after="200" w:line="240" w:lineRule="auto" w:before="0"/>
      <w:contextualSpacing/>
      <w:jc w:val="left"/>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val="0"/>
      <w:color w:val="000000"/>
      <w:spacing w:val="5"/>
      <w:kern w:val="28"/>
      <w:sz w:val="22"/>
      <w:szCs w:val="52"/>
    </w:rPr>
  </w:style>
  <w:style w:type="paragraph" w:styleId="Subtitle">
    <w:name w:val="Subtitle"/>
    <w:basedOn w:val="Normal"/>
    <w:next w:val="Normal"/>
    <w:link w:val="SubtitleChar"/>
    <w:uiPriority w:val="11"/>
    <w:qFormat/>
    <w:rsid w:val="00FC693F"/>
    <w:pPr>
      <w:widowControl/>
      <w:numPr>
        <w:ilvl w:val="1"/>
      </w:numPr>
      <w:spacing w:before="0" w:after="200" w:line="240" w:lineRule="auto"/>
      <w:jc w:val="left"/>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b w:val="0"/>
      <w:i/>
      <w:iCs/>
      <w:color w:val="000000"/>
      <w:spacing w:val="15"/>
      <w:sz w:val="22"/>
      <w:szCs w:val="24"/>
    </w:rPr>
  </w:style>
  <w:style w:type="paragraph" w:styleId="ListParagraph">
    <w:name w:val="List Paragraph"/>
    <w:basedOn w:val="Normal"/>
    <w:uiPriority w:val="34"/>
    <w:qFormat/>
    <w:rsid w:val="00FC693F"/>
    <w:pPr>
      <w:widowControl/>
      <w:spacing w:before="0" w:after="200" w:line="240" w:lineRule="auto"/>
      <w:ind w:left="720"/>
      <w:contextualSpacing/>
      <w:jc w:val="left"/>
    </w:pPr>
    <w:rPr>
      <w:rFonts w:ascii="Calibri" w:hAnsi="Calibri"/>
      <w:b w:val="0"/>
      <w:color w:val="000000"/>
      <w:sz w:val="22"/>
    </w:rPr>
  </w:style>
  <w:style w:type="paragraph" w:styleId="BodyText">
    <w:name w:val="Body Text"/>
    <w:basedOn w:val="Normal"/>
    <w:link w:val="BodyTextChar"/>
    <w:uiPriority w:val="99"/>
    <w:unhideWhenUsed/>
    <w:rsid w:val="00AA1D8D"/>
    <w:pPr>
      <w:widowControl/>
      <w:spacing w:after="200" w:before="0" w:line="240" w:lineRule="auto"/>
      <w:jc w:val="left"/>
    </w:pPr>
    <w:rPr>
      <w:rFonts w:ascii="Calibri" w:hAnsi="Calibri"/>
      <w:b w:val="0"/>
      <w:color w:val="000000"/>
      <w:sz w:val="22"/>
    </w:rPr>
  </w:style>
  <w:style w:type="character" w:customStyle="1" w:styleId="BodyTextChar">
    <w:name w:val="Body Text Char"/>
    <w:basedOn w:val="DefaultParagraphFont"/>
    <w:link w:val="BodyText"/>
    <w:uiPriority w:val="99"/>
    <w:rsid w:val="00AA1D8D"/>
    <w:rPr>
      <w:rFonts w:ascii="Calibri" w:hAnsi="Calibri"/>
      <w:b w:val="0"/>
      <w:color w:val="000000"/>
      <w:sz w:val="22"/>
    </w:rPr>
  </w:style>
  <w:style w:type="paragraph" w:styleId="BodyText2">
    <w:name w:val="Body Text 2"/>
    <w:basedOn w:val="Normal"/>
    <w:link w:val="BodyText2Char"/>
    <w:uiPriority w:val="99"/>
    <w:unhideWhenUsed/>
    <w:rsid w:val="00AA1D8D"/>
    <w:pPr>
      <w:widowControl/>
      <w:spacing w:after="200" w:line="240" w:lineRule="auto" w:before="0"/>
      <w:jc w:val="left"/>
    </w:pPr>
    <w:rPr>
      <w:rFonts w:ascii="Calibri" w:hAnsi="Calibri"/>
      <w:b w:val="0"/>
      <w:color w:val="000000"/>
      <w:sz w:val="22"/>
    </w:rPr>
  </w:style>
  <w:style w:type="character" w:customStyle="1" w:styleId="BodyText2Char">
    <w:name w:val="Body Text 2 Char"/>
    <w:basedOn w:val="DefaultParagraphFont"/>
    <w:link w:val="BodyText2"/>
    <w:uiPriority w:val="99"/>
    <w:rsid w:val="00AA1D8D"/>
    <w:rPr>
      <w:rFonts w:ascii="Calibri" w:hAnsi="Calibri"/>
      <w:b w:val="0"/>
      <w:color w:val="000000"/>
      <w:sz w:val="22"/>
    </w:rPr>
  </w:style>
  <w:style w:type="paragraph" w:styleId="BodyText3">
    <w:name w:val="Body Text 3"/>
    <w:basedOn w:val="Normal"/>
    <w:link w:val="BodyText3Char"/>
    <w:uiPriority w:val="99"/>
    <w:unhideWhenUsed/>
    <w:rsid w:val="00AA1D8D"/>
    <w:pPr>
      <w:widowControl/>
      <w:spacing w:after="200" w:before="0" w:line="240" w:lineRule="auto"/>
      <w:jc w:val="left"/>
    </w:pPr>
    <w:rPr>
      <w:rFonts w:ascii="Calibri" w:hAnsi="Calibri"/>
      <w:b w:val="0"/>
      <w:color w:val="000000"/>
      <w:sz w:val="22"/>
      <w:szCs w:val="16"/>
    </w:rPr>
  </w:style>
  <w:style w:type="character" w:customStyle="1" w:styleId="BodyText3Char">
    <w:name w:val="Body Text 3 Char"/>
    <w:basedOn w:val="DefaultParagraphFont"/>
    <w:link w:val="BodyText3"/>
    <w:uiPriority w:val="99"/>
    <w:rsid w:val="00AA1D8D"/>
    <w:rPr>
      <w:rFonts w:ascii="Calibri" w:hAnsi="Calibri"/>
      <w:b w:val="0"/>
      <w:color w:val="000000"/>
      <w:sz w:val="22"/>
      <w:szCs w:val="16"/>
    </w:rPr>
  </w:style>
  <w:style w:type="paragraph" w:styleId="List">
    <w:name w:val="List"/>
    <w:basedOn w:val="Normal"/>
    <w:uiPriority w:val="99"/>
    <w:unhideWhenUsed/>
    <w:rsid w:val="00AA1D8D"/>
    <w:pPr>
      <w:widowControl/>
      <w:spacing w:before="0" w:after="200" w:line="240" w:lineRule="auto"/>
      <w:ind w:left="360" w:hanging="360"/>
      <w:contextualSpacing/>
      <w:jc w:val="left"/>
    </w:pPr>
    <w:rPr>
      <w:rFonts w:ascii="Calibri" w:hAnsi="Calibri"/>
      <w:b w:val="0"/>
      <w:color w:val="000000"/>
      <w:sz w:val="22"/>
    </w:rPr>
  </w:style>
  <w:style w:type="paragraph" w:styleId="List2">
    <w:name w:val="List 2"/>
    <w:basedOn w:val="Normal"/>
    <w:uiPriority w:val="99"/>
    <w:unhideWhenUsed/>
    <w:rsid w:val="00326F90"/>
    <w:pPr>
      <w:widowControl/>
      <w:spacing w:before="0" w:after="200" w:line="240" w:lineRule="auto"/>
      <w:ind w:left="720" w:hanging="360"/>
      <w:contextualSpacing/>
      <w:jc w:val="left"/>
    </w:pPr>
    <w:rPr>
      <w:rFonts w:ascii="Calibri" w:hAnsi="Calibri"/>
      <w:b w:val="0"/>
      <w:color w:val="000000"/>
      <w:sz w:val="22"/>
    </w:rPr>
  </w:style>
  <w:style w:type="paragraph" w:styleId="List3">
    <w:name w:val="List 3"/>
    <w:basedOn w:val="Normal"/>
    <w:uiPriority w:val="99"/>
    <w:unhideWhenUsed/>
    <w:rsid w:val="00326F90"/>
    <w:pPr>
      <w:widowControl/>
      <w:spacing w:before="0" w:after="200" w:line="240" w:lineRule="auto"/>
      <w:ind w:left="1080" w:hanging="360"/>
      <w:contextualSpacing/>
      <w:jc w:val="left"/>
    </w:pPr>
    <w:rPr>
      <w:rFonts w:ascii="Calibri" w:hAnsi="Calibri"/>
      <w:b w:val="0"/>
      <w:color w:val="000000"/>
      <w:sz w:val="22"/>
    </w:rPr>
  </w:style>
  <w:style w:type="paragraph" w:styleId="ListBullet">
    <w:name w:val="List Bullet"/>
    <w:basedOn w:val="Normal"/>
    <w:uiPriority w:val="99"/>
    <w:unhideWhenUsed/>
    <w:rsid w:val="00326F90"/>
    <w:pPr>
      <w:widowControl/>
      <w:numPr>
        <w:numId w:val="1"/>
      </w:numPr>
      <w:spacing w:before="0" w:after="200" w:line="240" w:lineRule="auto"/>
      <w:contextualSpacing/>
      <w:jc w:val="left"/>
    </w:pPr>
    <w:rPr>
      <w:rFonts w:ascii="Calibri" w:hAnsi="Calibri"/>
      <w:b w:val="0"/>
      <w:color w:val="000000"/>
      <w:sz w:val="22"/>
    </w:rPr>
  </w:style>
  <w:style w:type="paragraph" w:styleId="ListBullet2">
    <w:name w:val="List Bullet 2"/>
    <w:basedOn w:val="Normal"/>
    <w:uiPriority w:val="99"/>
    <w:unhideWhenUsed/>
    <w:rsid w:val="00326F90"/>
    <w:pPr>
      <w:widowControl/>
      <w:numPr>
        <w:numId w:val="2"/>
      </w:numPr>
      <w:spacing w:before="0" w:after="200" w:line="240" w:lineRule="auto"/>
      <w:contextualSpacing/>
      <w:jc w:val="left"/>
    </w:pPr>
    <w:rPr>
      <w:rFonts w:ascii="Calibri" w:hAnsi="Calibri"/>
      <w:b w:val="0"/>
      <w:color w:val="000000"/>
      <w:sz w:val="22"/>
    </w:rPr>
  </w:style>
  <w:style w:type="paragraph" w:styleId="ListBullet3">
    <w:name w:val="List Bullet 3"/>
    <w:basedOn w:val="Normal"/>
    <w:uiPriority w:val="99"/>
    <w:unhideWhenUsed/>
    <w:rsid w:val="00326F90"/>
    <w:pPr>
      <w:widowControl/>
      <w:numPr>
        <w:numId w:val="3"/>
      </w:numPr>
      <w:spacing w:before="0" w:after="200" w:line="240" w:lineRule="auto"/>
      <w:contextualSpacing/>
      <w:jc w:val="left"/>
    </w:pPr>
    <w:rPr>
      <w:rFonts w:ascii="Calibri" w:hAnsi="Calibri"/>
      <w:b w:val="0"/>
      <w:color w:val="000000"/>
      <w:sz w:val="22"/>
    </w:rPr>
  </w:style>
  <w:style w:type="paragraph" w:styleId="ListNumber">
    <w:name w:val="List Number"/>
    <w:basedOn w:val="Normal"/>
    <w:uiPriority w:val="99"/>
    <w:unhideWhenUsed/>
    <w:rsid w:val="00326F90"/>
    <w:pPr>
      <w:widowControl/>
      <w:numPr>
        <w:numId w:val="5"/>
      </w:numPr>
      <w:spacing w:before="0" w:after="200" w:line="240" w:lineRule="auto"/>
      <w:contextualSpacing/>
      <w:jc w:val="left"/>
    </w:pPr>
    <w:rPr>
      <w:rFonts w:ascii="Calibri" w:hAnsi="Calibri"/>
      <w:b w:val="0"/>
      <w:color w:val="000000"/>
      <w:sz w:val="22"/>
    </w:rPr>
  </w:style>
  <w:style w:type="paragraph" w:styleId="ListNumber2">
    <w:name w:val="List Number 2"/>
    <w:basedOn w:val="Normal"/>
    <w:uiPriority w:val="99"/>
    <w:unhideWhenUsed/>
    <w:rsid w:val="0029639D"/>
    <w:pPr>
      <w:widowControl/>
      <w:numPr>
        <w:numId w:val="6"/>
      </w:numPr>
      <w:spacing w:before="0" w:after="200" w:line="240" w:lineRule="auto"/>
      <w:contextualSpacing/>
      <w:jc w:val="left"/>
    </w:pPr>
    <w:rPr>
      <w:rFonts w:ascii="Calibri" w:hAnsi="Calibri"/>
      <w:b w:val="0"/>
      <w:color w:val="000000"/>
      <w:sz w:val="22"/>
    </w:rPr>
  </w:style>
  <w:style w:type="paragraph" w:styleId="ListNumber3">
    <w:name w:val="List Number 3"/>
    <w:basedOn w:val="Normal"/>
    <w:uiPriority w:val="99"/>
    <w:unhideWhenUsed/>
    <w:rsid w:val="0029639D"/>
    <w:pPr>
      <w:widowControl/>
      <w:numPr>
        <w:numId w:val="7"/>
      </w:numPr>
      <w:spacing w:before="0" w:after="200" w:line="240" w:lineRule="auto"/>
      <w:contextualSpacing/>
      <w:jc w:val="left"/>
    </w:pPr>
    <w:rPr>
      <w:rFonts w:ascii="Calibri" w:hAnsi="Calibri"/>
      <w:b w:val="0"/>
      <w:color w:val="000000"/>
      <w:sz w:val="22"/>
    </w:rPr>
  </w:style>
  <w:style w:type="paragraph" w:styleId="ListContinue">
    <w:name w:val="List Continue"/>
    <w:basedOn w:val="Normal"/>
    <w:uiPriority w:val="99"/>
    <w:unhideWhenUsed/>
    <w:rsid w:val="0029639D"/>
    <w:pPr>
      <w:widowControl/>
      <w:spacing w:after="200" w:before="0" w:line="240" w:lineRule="auto"/>
      <w:ind w:left="360"/>
      <w:contextualSpacing/>
      <w:jc w:val="left"/>
    </w:pPr>
    <w:rPr>
      <w:rFonts w:ascii="Calibri" w:hAnsi="Calibri"/>
      <w:b w:val="0"/>
      <w:color w:val="000000"/>
      <w:sz w:val="22"/>
    </w:rPr>
  </w:style>
  <w:style w:type="paragraph" w:styleId="ListContinue2">
    <w:name w:val="List Continue 2"/>
    <w:basedOn w:val="Normal"/>
    <w:uiPriority w:val="99"/>
    <w:unhideWhenUsed/>
    <w:rsid w:val="0029639D"/>
    <w:pPr>
      <w:widowControl/>
      <w:spacing w:after="200" w:before="0" w:line="240" w:lineRule="auto"/>
      <w:ind w:left="720"/>
      <w:contextualSpacing/>
      <w:jc w:val="left"/>
    </w:pPr>
    <w:rPr>
      <w:rFonts w:ascii="Calibri" w:hAnsi="Calibri"/>
      <w:b w:val="0"/>
      <w:color w:val="000000"/>
      <w:sz w:val="22"/>
    </w:rPr>
  </w:style>
  <w:style w:type="paragraph" w:styleId="ListContinue3">
    <w:name w:val="List Continue 3"/>
    <w:basedOn w:val="Normal"/>
    <w:uiPriority w:val="99"/>
    <w:unhideWhenUsed/>
    <w:rsid w:val="0029639D"/>
    <w:pPr>
      <w:widowControl/>
      <w:spacing w:after="200" w:before="0" w:line="240" w:lineRule="auto"/>
      <w:ind w:left="1080"/>
      <w:contextualSpacing/>
      <w:jc w:val="left"/>
    </w:pPr>
    <w:rPr>
      <w:rFonts w:ascii="Calibri" w:hAnsi="Calibri"/>
      <w:b w:val="0"/>
      <w:color w:val="000000"/>
      <w:sz w:val="22"/>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before="0" w:after="200" w:line="240" w:lineRule="auto"/>
      <w:jc w:val="left"/>
    </w:pPr>
    <w:rPr>
      <w:rFonts w:ascii="Calibri" w:hAnsi="Calibri"/>
      <w:b w:val="0"/>
      <w:color w:val="000000"/>
      <w:sz w:val="22"/>
      <w:szCs w:val="20"/>
    </w:rPr>
  </w:style>
  <w:style w:type="character" w:customStyle="1" w:styleId="MacroTextChar">
    <w:name w:val="Macro Text Char"/>
    <w:basedOn w:val="DefaultParagraphFont"/>
    <w:link w:val="MacroText"/>
    <w:uiPriority w:val="99"/>
    <w:rsid w:val="0029639D"/>
    <w:rPr>
      <w:rFonts w:ascii="Calibri" w:hAnsi="Calibri"/>
      <w:b w:val="0"/>
      <w:color w:val="000000"/>
      <w:sz w:val="22"/>
      <w:szCs w:val="20"/>
    </w:rPr>
  </w:style>
  <w:style w:type="paragraph" w:styleId="Quote">
    <w:name w:val="Quote"/>
    <w:basedOn w:val="Normal"/>
    <w:next w:val="Normal"/>
    <w:link w:val="QuoteChar"/>
    <w:uiPriority w:val="29"/>
    <w:qFormat/>
    <w:rsid w:val="00FC693F"/>
    <w:pPr>
      <w:widowControl/>
      <w:spacing w:before="0" w:after="200" w:line="240" w:lineRule="auto"/>
      <w:jc w:val="left"/>
    </w:pPr>
    <w:rPr>
      <w:rFonts w:ascii="Calibri" w:hAnsi="Calibri"/>
      <w:b w:val="0"/>
      <w:i/>
      <w:iCs/>
      <w:color w:val="000000"/>
      <w:sz w:val="22"/>
    </w:rPr>
  </w:style>
  <w:style w:type="character" w:customStyle="1" w:styleId="QuoteChar">
    <w:name w:val="Quote Char"/>
    <w:basedOn w:val="DefaultParagraphFont"/>
    <w:link w:val="Quote"/>
    <w:uiPriority w:val="29"/>
    <w:rsid w:val="00FC693F"/>
    <w:rPr>
      <w:rFonts w:ascii="Calibri" w:hAnsi="Calibri"/>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b w:val="0"/>
      <w:i/>
      <w:iCs/>
      <w:color w:val="000000"/>
      <w:sz w:val="22"/>
      <w:szCs w:val="20"/>
    </w:rPr>
  </w:style>
  <w:style w:type="paragraph" w:styleId="Caption">
    <w:name w:val="caption"/>
    <w:basedOn w:val="Normal"/>
    <w:next w:val="Normal"/>
    <w:uiPriority w:val="35"/>
    <w:semiHidden/>
    <w:unhideWhenUsed/>
    <w:qFormat/>
    <w:rsid w:val="00FC693F"/>
    <w:pPr>
      <w:widowControl/>
      <w:spacing w:line="240" w:lineRule="auto" w:before="0" w:after="200"/>
      <w:jc w:val="left"/>
    </w:pPr>
    <w:rPr>
      <w:rFonts w:ascii="Calibri" w:hAnsi="Calibri"/>
      <w:b w:val="0"/>
      <w:bCs/>
      <w:color w:val="000000"/>
      <w:sz w:val="22"/>
      <w:szCs w:val="18"/>
    </w:rPr>
  </w:style>
  <w:style w:type="character" w:styleId="Strong">
    <w:name w:val="Strong"/>
    <w:basedOn w:val="DefaultParagraphFont"/>
    <w:uiPriority w:val="22"/>
    <w:qFormat/>
    <w:rsid w:val="00FC693F"/>
    <w:rPr>
      <w:rFonts w:ascii="Calibri" w:hAnsi="Calibri"/>
      <w:b w:val="0"/>
      <w:bCs/>
      <w:color w:val="000000"/>
      <w:sz w:val="22"/>
    </w:rPr>
  </w:style>
  <w:style w:type="character" w:styleId="Emphasis">
    <w:name w:val="Emphasis"/>
    <w:basedOn w:val="DefaultParagraphFont"/>
    <w:uiPriority w:val="20"/>
    <w:qFormat/>
    <w:rsid w:val="00FC693F"/>
    <w:rPr>
      <w:rFonts w:ascii="Calibri" w:hAnsi="Calibri"/>
      <w:b w:val="0"/>
      <w:i/>
      <w:iCs/>
      <w:color w:val="000000"/>
      <w:sz w:val="22"/>
    </w:rPr>
  </w:style>
  <w:style w:type="paragraph" w:styleId="IntenseQuote">
    <w:name w:val="Intense Quote"/>
    <w:basedOn w:val="Normal"/>
    <w:next w:val="Normal"/>
    <w:link w:val="IntenseQuoteChar"/>
    <w:uiPriority w:val="30"/>
    <w:qFormat/>
    <w:rsid w:val="00FC693F"/>
    <w:pPr>
      <w:widowControl/>
      <w:spacing w:before="0" w:after="200" w:line="240" w:lineRule="auto"/>
      <w:ind w:left="936" w:right="936"/>
      <w:jc w:val="left"/>
    </w:pPr>
    <w:rPr>
      <w:rFonts w:ascii="Calibri" w:hAnsi="Calibri"/>
      <w:b w:val="0"/>
      <w:bCs/>
      <w:i/>
      <w:iCs/>
      <w:color w:val="000000"/>
      <w:sz w:val="22"/>
    </w:rPr>
  </w:style>
  <w:style w:type="character" w:customStyle="1" w:styleId="IntenseQuoteChar">
    <w:name w:val="Intense Quote Char"/>
    <w:basedOn w:val="DefaultParagraphFont"/>
    <w:link w:val="IntenseQuote"/>
    <w:uiPriority w:val="30"/>
    <w:rsid w:val="00FC693F"/>
    <w:rPr>
      <w:rFonts w:ascii="Calibri" w:hAnsi="Calibri"/>
      <w:b w:val="0"/>
      <w:bCs/>
      <w:i/>
      <w:iCs/>
      <w:color w:val="000000"/>
      <w:sz w:val="22"/>
    </w:rPr>
  </w:style>
  <w:style w:type="character" w:styleId="SubtleEmphasis">
    <w:name w:val="Subtle Emphasis"/>
    <w:basedOn w:val="DefaultParagraphFont"/>
    <w:uiPriority w:val="19"/>
    <w:qFormat/>
    <w:rsid w:val="00FC693F"/>
    <w:rPr>
      <w:rFonts w:ascii="Calibri" w:hAnsi="Calibri"/>
      <w:b w:val="0"/>
      <w:i/>
      <w:iCs/>
      <w:color w:val="000000"/>
      <w:sz w:val="22"/>
    </w:rPr>
  </w:style>
  <w:style w:type="character" w:styleId="IntenseEmphasis">
    <w:name w:val="Intense Emphasis"/>
    <w:basedOn w:val="DefaultParagraphFont"/>
    <w:uiPriority w:val="21"/>
    <w:qFormat/>
    <w:rsid w:val="00FC693F"/>
    <w:rPr>
      <w:rFonts w:ascii="Calibri" w:hAnsi="Calibri"/>
      <w:b w:val="0"/>
      <w:bCs/>
      <w:i/>
      <w:iCs/>
      <w:color w:val="000000"/>
      <w:sz w:val="22"/>
    </w:rPr>
  </w:style>
  <w:style w:type="character" w:styleId="SubtleReference">
    <w:name w:val="Subtle Reference"/>
    <w:basedOn w:val="DefaultParagraphFont"/>
    <w:uiPriority w:val="31"/>
    <w:qFormat/>
    <w:rsid w:val="00FC693F"/>
    <w:rPr>
      <w:rFonts w:ascii="Calibri" w:hAnsi="Calibri"/>
      <w:b w:val="0"/>
      <w:smallCaps/>
      <w:color w:val="000000"/>
      <w:sz w:val="22"/>
      <w:u w:val="single"/>
    </w:rPr>
  </w:style>
  <w:style w:type="character" w:styleId="IntenseReference">
    <w:name w:val="Intense Reference"/>
    <w:basedOn w:val="DefaultParagraphFont"/>
    <w:uiPriority w:val="32"/>
    <w:qFormat/>
    <w:rsid w:val="00FC693F"/>
    <w:rPr>
      <w:rFonts w:ascii="Calibri" w:hAnsi="Calibri"/>
      <w:b w:val="0"/>
      <w:bCs/>
      <w:smallCaps/>
      <w:color w:val="000000"/>
      <w:spacing w:val="5"/>
      <w:sz w:val="22"/>
      <w:u w:val="single"/>
    </w:rPr>
  </w:style>
  <w:style w:type="character" w:styleId="BookTitle">
    <w:name w:val="Book Title"/>
    <w:basedOn w:val="DefaultParagraphFont"/>
    <w:uiPriority w:val="33"/>
    <w:qFormat/>
    <w:rsid w:val="00FC693F"/>
    <w:rPr>
      <w:rFonts w:ascii="Calibri" w:hAnsi="Calibri"/>
      <w:b w:val="0"/>
      <w:bCs/>
      <w:smallCaps/>
      <w:color w:val="000000"/>
      <w:spacing w:val="5"/>
      <w:sz w:val="22"/>
    </w:rPr>
  </w:style>
  <w:style w:type="paragraph" w:styleId="TOCHeading">
    <w:name w:val="TOC Heading"/>
    <w:basedOn w:val="Heading1"/>
    <w:next w:val="Normal"/>
    <w:uiPriority w:val="39"/>
    <w:semiHidden/>
    <w:unhideWhenUsed/>
    <w:qFormat/>
    <w:rsid w:val="00FC693F"/>
    <w:pPr>
      <w:widowControl/>
      <w:spacing w:before="0" w:after="200" w:line="240" w:lineRule="auto"/>
      <w:jc w:val="left"/>
      <w:outlineLvl w:val="9"/>
    </w:pPr>
    <w:rPr>
      <w:rFonts w:ascii="Calibri" w:hAnsi="Calibri"/>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yperlink" Target="https://www.mydancr.com/privacy" TargetMode="External"/><Relationship Id="rId10" Type="http://schemas.openxmlformats.org/officeDocument/2006/relationships/hyperlink" Target="mailto:support@mydancr.com"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