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MyDancr Dancer Agreement</w:t>
      </w:r>
    </w:p>
    <w:p>
      <w:pPr/>
      <w:r>
        <w:t>Last updated: October 30, 2026</w:t>
      </w:r>
    </w:p>
    <w:p>
      <w:pPr/>
      <w:r>
        <w:t>This document governs your dancer account with MyDancr LLC, a Wyoming limited liability company (“</w:t>
      </w:r>
      <w:r>
        <w:rPr>
          <w:b/>
        </w:rPr>
        <w:t>MyDancr</w:t>
      </w:r>
      <w:r>
        <w:t>,” “</w:t>
      </w:r>
      <w:r>
        <w:rPr>
          <w:b/>
        </w:rPr>
        <w:t>we</w:t>
      </w:r>
      <w:r>
        <w:t>,” or “</w:t>
      </w:r>
      <w:r>
        <w:rPr>
          <w:b/>
        </w:rPr>
        <w:t>us</w:t>
      </w:r>
      <w:r>
        <w:t>”). It covers your promotional profile and access to MyDancr’s software. It does not engage you to perform work for MyDancr or determine your separate relationship with a club.</w:t>
      </w:r>
    </w:p>
    <w:p>
      <w:pPr>
        <w:pStyle w:val="Heading1"/>
      </w:pPr>
      <w:r>
        <w:t>1 Acceptance and relationship</w:t>
      </w:r>
    </w:p>
    <w:p>
      <w:pPr/>
      <w:r>
        <w:t xml:space="preserve">You must affirmatively accept this agreement before continuing to identity and age verification. Accepting this agreement does not give consent to biometric processing or marketing. The </w:t>
      </w:r>
      <w:hyperlink r:id="rId9">
        <w:r>
          <w:rPr>
            <w:color w:val="0000FF"/>
            <w:u w:val="single"/>
            <w:sz w:val="22"/>
            <w:szCs w:val="22"/>
            <w:rFonts w:ascii="Calibri" w:hAnsi="Calibri"/>
          </w:rPr>
          <w:t>User Terms and feature notices</w:t>
        </w:r>
      </w:hyperlink>
      <w:r>
        <w:t xml:space="preserve"> apply where separately accepted and relevant. This agreement controls conflicts about your dancer eligibility, media, visibility, license, and account disputes. The </w:t>
      </w:r>
      <w:hyperlink r:id="rId10">
        <w:r>
          <w:rPr>
            <w:color w:val="0000FF"/>
            <w:u w:val="single"/>
            <w:sz w:val="22"/>
            <w:szCs w:val="22"/>
            <w:rFonts w:ascii="Calibri" w:hAnsi="Calibri"/>
          </w:rPr>
          <w:t>Privacy Policy</w:t>
        </w:r>
      </w:hyperlink>
      <w:r>
        <w:t xml:space="preserve"> and the Dancer Verification and Biometric Privacy Notice explain personal-information handling.</w:t>
      </w:r>
    </w:p>
    <w:p>
      <w:pPr/>
      <w:r>
        <w:t>Your account is free. MyDancr does not employ, schedule, supervise, book, or pay you for performances and does not collect payment for dancer services. Nothing here waives a worker right or changes a classification determined by law. Club admission, licensing, compensation, and work arrangements remain separate.</w:t>
      </w:r>
    </w:p>
    <w:p>
      <w:pPr>
        <w:pStyle w:val="Heading1"/>
      </w:pPr>
      <w:r>
        <w:t>2 Eligibility and verification</w:t>
      </w:r>
    </w:p>
    <w:p>
      <w:pPr/>
      <w:r>
        <w:t>You must be at least 18, have legal capacity, operate your own account, and provide accurate information. You must hold the licenses, permits, work authorization, and club qualifications required for your activities. Your MyDancr status does not replace those requirements. You must not use someone else’s identity, documents, likeness, account, or stage identity to mislead anyone.</w:t>
      </w:r>
    </w:p>
    <w:p>
      <w:pPr/>
      <w:r>
        <w:t>Before your account can go live, complete identity and age verification through UAB “Ondato” using your government-issued ID and live selfie. Ondato checks your ID, compares your face with the ID, and checks that the selfie shows a real person. These checks involve facial biometric processing. Review and affirmatively accept the separate verification notice before capture. Declining prevents dancer activation. Verification failures and uncertain results can require review or prevent activation.</w:t>
      </w:r>
    </w:p>
    <w:p>
      <w:pPr/>
      <w:r>
        <w:t>Authorized MyDancr personnel can access verification records Ondato makes available for verification, related support, security, and legal purposes. These are not public profile records. MyDancr’s limited retained verification record and Ondato’s 30-day deletion setting are described in the verification notice and Privacy Policy. Account acceptance does not authorize unrelated profiling, advertising, or retention of raw verification files.</w:t>
      </w:r>
    </w:p>
    <w:p>
      <w:pPr>
        <w:pStyle w:val="Heading1"/>
      </w:pPr>
      <w:r>
        <w:t>3 Activation club affiliation and check-ins</w:t>
      </w:r>
    </w:p>
    <w:p>
      <w:pPr/>
      <w:r>
        <w:t>To activate your profile, create an account and submit media for club approval and MyDancr moderation. The approved profile stays private until you complete Ondato verification and intentionally tap the club’s official dressing-room NFC tag in person, with the tap validated by MyDancr. Completing only some steps does not authorize publication. Bios are not supported.</w:t>
      </w:r>
    </w:p>
    <w:p>
      <w:pPr/>
      <w:r>
        <w:t>A validated intentional tap establishes club affiliation automatically; no additional approval of that affiliation by a club representative is required. An authorized club user may remove the affiliation. You may use club-specific scheduling and Working Now only while your affiliation is active and the feature’s conditions are met.</w:t>
      </w:r>
    </w:p>
    <w:p>
      <w:pPr/>
      <w:r>
        <w:t>Working Now lasts for the period shown when you check in, followed by any displayed cooldown. Repeated taps do not extend that period unless the check-in screen expressly says they will. End or correct an inaccurate status through available controls and report a malfunction. MyDancr records the club, time, tag reference, and technical information needed to validate the event and prevent fraud. The NFC process does not use continuous or background location tracking or a geofence.</w:t>
      </w:r>
    </w:p>
    <w:p>
      <w:pPr/>
      <w:r>
        <w:t>Do not copy, relocate, emulate, relay, alter, or misuse a tag; automate or simulate a tap; have someone check in for you; or falsify presence, pass, or request records. A validated tap and a status badge do not establish continuing presence, a job relationship, availability, or consent to a guest’s request.</w:t>
      </w:r>
    </w:p>
    <w:p>
      <w:pPr>
        <w:pStyle w:val="Heading1"/>
      </w:pPr>
      <w:r>
        <w:t>4 Visibility and public distribution</w:t>
      </w:r>
    </w:p>
    <w:p>
      <w:pPr/>
      <w:r>
        <w:t>Your visibility choice applies to approved media, stage name, city, supported profile fields, schedules, and Working Now information. Public profiles can be viewed or copied by others. An eligible public off-shift profile may show “Not working now” without current or past club affiliation. Current affiliation is displayed publicly only during an eligible check-in and according to your selection.</w:t>
      </w:r>
    </w:p>
    <w:p>
      <w:pPr/>
      <w:r>
        <w:t>Internal-only visibility means your profile is available inside the club where you are checked in and to that club’s invited VIPs while you are checked in there, and is hidden from public discovery. Another club’s VIP invitation does not provide access. Incognito hides your profile from public users and invited VIPs and blocks their requests. It does not eliminate authorized administrative, moderation, safety, or legal access.</w:t>
      </w:r>
    </w:p>
    <w:p>
      <w:pPr/>
      <w:r>
        <w:t xml:space="preserve">MyDancr TV and authorized public club embeds must respect the public-visibility limits. Internal-only and Incognito content must not be publicly embedded. Visibility changes restrict later authorized display but cannot recall copies independently retained by third parties. Report a visibility error promptly to </w:t>
      </w:r>
      <w:hyperlink r:id="rId11">
        <w:r>
          <w:rPr>
            <w:color w:val="0000FF"/>
            <w:u w:val="single"/>
            <w:sz w:val="22"/>
            <w:szCs w:val="22"/>
            <w:rFonts w:ascii="Calibri" w:hAnsi="Calibri"/>
          </w:rPr>
          <w:t>support@mydancr.com</w:t>
        </w:r>
      </w:hyperlink>
      <w:r>
        <w:t>.</w:t>
      </w:r>
    </w:p>
    <w:p>
      <w:pPr>
        <w:pStyle w:val="Heading1"/>
      </w:pPr>
      <w:r>
        <w:t>5 Permitted media and rights</w:t>
      </w:r>
    </w:p>
    <w:p>
      <w:pPr/>
      <w:r>
        <w:t>Use only the available profile fields and submit promotional photos and short videos in the supported formats. You must be the only depicted person, including in backgrounds and reflections, and must have been at least 18 when each item was created. You must own or have permission for the images, footage, music, performance, likeness, and other material used. Keep records of those rights and provide reasonable evidence when requested.</w:t>
      </w:r>
    </w:p>
    <w:p>
      <w:pPr/>
      <w:r>
        <w:t>Covered bikinis, lingerie, and thongs are permitted. Nipples and private parts must remain covered. Do not submit nudity, actual or simulated sexual acts, or lascivious exhibition of the anus, genitals, or pubic area. Do not submit minors, nonconsensual intimate imagery or deceptive sexual deepfakes, other depicted people, sexual solicitation, trafficking or exploitation, drugs, violence, threats, hate, or unlawful material.</w:t>
      </w:r>
    </w:p>
    <w:p>
      <w:pPr/>
      <w:r>
        <w:t>Do not place logos, watermarks, contact information, social or payment handles, QR codes, or similar directions in media. A supported separate profile link does not authorize embedding such information in an image or video. Follow the displayed format, length, and size limits. MyDancr may change technical limits for future submissions. Those changes do not permit content prohibited by this agreement.</w:t>
      </w:r>
    </w:p>
    <w:p>
      <w:pPr>
        <w:pStyle w:val="Heading1"/>
      </w:pPr>
      <w:r>
        <w:t>6 Review of media decisions</w:t>
      </w:r>
    </w:p>
    <w:p>
      <w:pPr/>
      <w:r>
        <w:t>Each item must receive club approval and pass MyDancr moderation before publication. Automated screening assists review and does not establish legality or rights ownership. Club approval does not override MyDancr’s rules. An item can be rejected, restricted, or removed; approved material may remain visible while an update is pending.</w:t>
      </w:r>
    </w:p>
    <w:p>
      <w:pPr/>
      <w:r>
        <w:t xml:space="preserve">MyDancr may request further rights or eligibility evidence and restrict the affected item while the issue is reviewed. It will give a reason for an adverse decision when practical and lawful. Request review or correction at </w:t>
      </w:r>
      <w:hyperlink r:id="rId11">
        <w:r>
          <w:rPr>
            <w:color w:val="0000FF"/>
            <w:u w:val="single"/>
            <w:sz w:val="22"/>
            <w:szCs w:val="22"/>
            <w:rFonts w:ascii="Calibri" w:hAnsi="Calibri"/>
          </w:rPr>
          <w:t>support@mydancr.com</w:t>
        </w:r>
      </w:hyperlink>
      <w:r>
        <w:t>, identifying the item and relevant facts. An appeal does not guarantee publication or prevent urgent safety action.</w:t>
      </w:r>
    </w:p>
    <w:p>
      <w:pPr>
        <w:pStyle w:val="Heading1"/>
      </w:pPr>
      <w:r>
        <w:t>7 Your license to MyDancr</w:t>
      </w:r>
    </w:p>
    <w:p>
      <w:pPr/>
      <w:r>
        <w:t>You retain ownership of your submitted media and supported profile information (“</w:t>
      </w:r>
      <w:r>
        <w:rPr>
          <w:b/>
        </w:rPr>
        <w:t>Dancer Content</w:t>
      </w:r>
      <w:r>
        <w:t>”). For the period and purposes below, you grant MyDancr a nonexclusive, worldwide, royalty-free license to host, copy, technically format, transmit, and display Dancer Content to provide your authorized profile and the features you select. MyDancr may permit its service providers to perform those functions under the same limits.</w:t>
      </w:r>
    </w:p>
    <w:p>
      <w:pPr/>
      <w:r>
        <w:t>The license includes eligible display through MyDancr TV and approved embeds on club-controlled websites. It is limited by your visibility choices and does not authorize unrelated advertising campaigns, sale of your content, unrestricted sublicensing, or general-purpose AI training. A separate advertising campaign requires separate permission. Technical cropping, resizing, compression, and transcoding must not materially misrepresent you.</w:t>
      </w:r>
    </w:p>
    <w:p>
      <w:pPr/>
      <w:r>
        <w:t>The license also permits use of the stage name, image, voice, and other identifying elements in Dancer Content for those authorized purposes. It does not cover your verification materials, legal identity, another person’s likeness, or an unrelated endorsement. You must not submit material whose authorized use requires an undisclosed third-party payment.</w:t>
      </w:r>
    </w:p>
    <w:p>
      <w:pPr/>
      <w:r>
        <w:t>The license ends for an item when it is deleted or the authorized display ends, except restricted copies and processing needed for the limited retention, security, disputes, and legal purposes described in the Privacy Policy. Those exceptions do not permit continued ordinary promotion. MyDancr retains its software and branding; you receive only permission to use the authorized features.</w:t>
      </w:r>
    </w:p>
    <w:p>
      <w:pPr>
        <w:pStyle w:val="Heading1"/>
      </w:pPr>
      <w:r>
        <w:t>8 Requests and voluntary participation</w:t>
      </w:r>
    </w:p>
    <w:p>
      <w:pPr/>
      <w:r>
        <w:t>Table and VIP requests are routed to club personnel. The selected dancer may receive anonymous VIP visit details. A request, status badge, staff acknowledgment, or club confirmation does not require you to meet anyone, perform, or accept an engagement. Participation requires your voluntary agreement and coordination with the club. Contact the club about arrangements, pricing, safety, and changes.</w:t>
      </w:r>
    </w:p>
    <w:p>
      <w:pPr/>
      <w:r>
        <w:t>MyDancr does not guarantee the identity, conduct, or suitability of a guest. Do not use the service for unlawful sexual services, coercion, retaliation, exploitation, or disclosure of private guest information. Report threats and safety concerns; use emergency services for an immediate emergency.</w:t>
      </w:r>
    </w:p>
    <w:p>
      <w:pPr>
        <w:pStyle w:val="Heading1"/>
      </w:pPr>
      <w:r>
        <w:t>9 Automation activity measures and privacy</w:t>
      </w:r>
    </w:p>
    <w:p>
      <w:pPr/>
      <w:r>
        <w:t>MyDancr uses submitted profile media, sampled video frames, extracted audio, and related transcripts or captions for moderation as described in the Privacy Policy. This is separate from Ondato verification. Do not place verification documents or selfies in profile media or ordinary messages.</w:t>
      </w:r>
    </w:p>
    <w:p>
      <w:pPr/>
      <w:r>
        <w:t>Available scores and rankings use recorded roster and check-in time, check-in and checkout behavior, table requests, VIP selections and returning requesters, profile interactions, and pass claims and redemptions. Your club can see its activity measures and your results. A visibility choice does not erase lawful historical operational records. Results can be affected by missing data or a short activity history.</w:t>
      </w:r>
    </w:p>
    <w:p>
      <w:pPr/>
      <w:r>
        <w:t xml:space="preserve">Available hair-color analytics describe visible hair in approved main photos and group activity by the photo recorded when the activity occurred. Earlier activity can stay linked to the earlier photo. These measures do not establish revenue, attendance, safety, qualifications, or what caused a result. Ask </w:t>
      </w:r>
      <w:hyperlink r:id="rId11">
        <w:r>
          <w:rPr>
            <w:color w:val="0000FF"/>
            <w:u w:val="single"/>
            <w:sz w:val="22"/>
            <w:szCs w:val="22"/>
            <w:rFonts w:ascii="Calibri" w:hAnsi="Calibri"/>
          </w:rPr>
          <w:t>support@mydancr.com</w:t>
        </w:r>
      </w:hyperlink>
      <w:r>
        <w:t xml:space="preserve"> to review an inaccurate result. Verification files and facial biometric data are not inputs to these features.</w:t>
      </w:r>
    </w:p>
    <w:p>
      <w:pPr>
        <w:pStyle w:val="Heading1"/>
      </w:pPr>
      <w:r>
        <w:t>10 Conduct security and enforcement</w:t>
      </w:r>
    </w:p>
    <w:p>
      <w:pPr/>
      <w:r>
        <w:t>Protect your account, use authorized access only, and promptly report compromise. Do not scrape, harvest, bulk copy, reidentify users, bypass controls, tamper with tags or passes, introduce malware, or use private records or other users’ media for unauthorized model training. Do not harass, impersonate, threaten, or retaliate against anyone.</w:t>
      </w:r>
    </w:p>
    <w:p>
      <w:pPr/>
      <w:r>
        <w:t xml:space="preserve">MyDancr may restrict content or access while investigating suspected misuse, an eligibility issue, or a safety, security, or legal concern. It may terminate for a material breach, ineligibility, unlawful conduct, or another legitimate operational reason. It will provide notice and a reasonable explanation when practical; disclosure may be withheld to protect safety, an investigation, security, or legal duties. Seek review through </w:t>
      </w:r>
      <w:hyperlink r:id="rId11">
        <w:r>
          <w:rPr>
            <w:color w:val="0000FF"/>
            <w:u w:val="single"/>
            <w:sz w:val="22"/>
            <w:szCs w:val="22"/>
            <w:rFonts w:ascii="Calibri" w:hAnsi="Calibri"/>
          </w:rPr>
          <w:t>support@mydancr.com</w:t>
        </w:r>
      </w:hyperlink>
      <w:r>
        <w:t>.</w:t>
      </w:r>
    </w:p>
    <w:p>
      <w:pPr>
        <w:pStyle w:val="Heading1"/>
      </w:pPr>
      <w:r>
        <w:t>11 Reporting rights and account closure</w:t>
      </w:r>
    </w:p>
    <w:p>
      <w:pPr/>
      <w:r>
        <w:t xml:space="preserve">The </w:t>
      </w:r>
      <w:hyperlink r:id="rId12">
        <w:r>
          <w:rPr>
            <w:color w:val="0000FF"/>
            <w:u w:val="single"/>
            <w:sz w:val="22"/>
            <w:szCs w:val="22"/>
            <w:rFonts w:ascii="Calibri" w:hAnsi="Calibri"/>
          </w:rPr>
          <w:t>DMCA Policy</w:t>
        </w:r>
      </w:hyperlink>
      <w:r>
        <w:t xml:space="preserve"> explains copyright notices and counter-notices. The Report Harmful Content notice in the </w:t>
      </w:r>
      <w:hyperlink r:id="rId9">
        <w:r>
          <w:rPr>
            <w:color w:val="0000FF"/>
            <w:u w:val="single"/>
            <w:sz w:val="22"/>
            <w:szCs w:val="22"/>
            <w:rFonts w:ascii="Calibri" w:hAnsi="Calibri"/>
          </w:rPr>
          <w:t>legal index</w:t>
        </w:r>
      </w:hyperlink>
      <w:r>
        <w:t xml:space="preserve"> provides a separate removal process for intimate imagery, including requests by nonusers and depicted people. Do not forward suspected child sexual abuse material through ordinary email or messages.</w:t>
      </w:r>
    </w:p>
    <w:p>
      <w:pPr/>
      <w:r>
        <w:t xml:space="preserve">You may disable your account or request deletion through available controls or </w:t>
      </w:r>
      <w:hyperlink r:id="rId11">
        <w:r>
          <w:rPr>
            <w:color w:val="0000FF"/>
            <w:u w:val="single"/>
            <w:sz w:val="22"/>
            <w:szCs w:val="22"/>
            <w:rFonts w:ascii="Calibri" w:hAnsi="Calibri"/>
          </w:rPr>
          <w:t>support@mydancr.com</w:t>
        </w:r>
      </w:hyperlink>
      <w:r>
        <w:t>. Closure ends ordinary display and access; it does not change your independent club relationship, erase accrued claims, or authorize an extension of content licenses or biometric deadlines. Restricted retention follows the Privacy Policy.</w:t>
      </w:r>
    </w:p>
    <w:p>
      <w:pPr>
        <w:pStyle w:val="Heading1"/>
      </w:pPr>
      <w:r>
        <w:t>12 Changes</w:t>
      </w:r>
    </w:p>
    <w:p>
      <w:pPr/>
      <w:r>
        <w:t>MyDancr may revise this agreement prospectively. For a material change it will identify the new version, notify you through the account or email, and require affirmative acceptance before applying it to continued use. Posting alone is insufficient, and revisions do not change an existing dispute retroactively. You may decline and stop using the affected service.</w:t>
      </w:r>
    </w:p>
    <w:p>
      <w:pPr>
        <w:pStyle w:val="Heading1"/>
      </w:pPr>
      <w:r>
        <w:t>13 Disclaimers liability and third party claims</w:t>
      </w:r>
    </w:p>
    <w:p>
      <w:pPr/>
      <w:r>
        <w:t>MyDancr does not promise continuous access, accurate automated outputs, bookings, income, attendance, or any independent participant’s conduct. To the extent permitted by law it disclaims implied warranties of merchantability, fitness for a particular purpose, and noninfringement. No disclaimer eliminates an express obligation or nonwaivable protection.</w:t>
      </w:r>
    </w:p>
    <w:p>
      <w:pPr/>
      <w:r>
        <w:t>To the extent permitted by law, MyDancr and its providers are not liable for lost profits, lost business opportunities, loss of goodwill, losses resulting indirectly from inability to use the service, or punitive damages. Their aggregate liability to you arising from this agreement or the dancer service is limited to the greater of $100 and the amount you paid MyDancr for that service in the 12 months before the event. These exclusions and the cap do not apply to fraud, willful misconduct, gross negligence, death or personal injury caused by negligence, or a nonwaivable liability or remedy.</w:t>
      </w:r>
    </w:p>
    <w:p>
      <w:pPr/>
      <w:r>
        <w:t>To the extent permitted by law, you must indemnify MyDancr and its officers, employees, and agents against third-party claims, resulting damages, and reasonable defense costs caused by unlawful account use, Dancer Content’s violation of another person’s rights, or your material breach. Your obligation does not cover the protected person’s own negligence, breach, fraud, or willful misconduct. MyDancr must give reasonably prompt claim notice, permit your defense with reasonably acceptable counsel, and provide reasonable cooperation at your expense. A delay in notice reduces your obligation only to the extent it prejudices the defense. A settlement admitting fault, imposing an obligation, or failing to provide an unconditional release requires the affected person’s consent. Covered and uncovered portions of a claim must be allocated according to their cause.</w:t>
      </w:r>
    </w:p>
    <w:p>
      <w:pPr>
        <w:pStyle w:val="Heading1"/>
      </w:pPr>
      <w:r>
        <w:t>14 Individual arbitration</w:t>
      </w:r>
    </w:p>
    <w:p>
      <w:pPr/>
      <w:r>
        <w:t>Except for the matters identified below, you and MyDancr must resolve disputes arising from this document or your use of MyDancr by binding individual arbitration before one neutral arbitrator. The Federal Arbitration Act governs this arbitration provision. Arbitration replaces a court trial for the claims it covers and ordinarily provides more limited discovery and judicial review.</w:t>
      </w:r>
    </w:p>
    <w:p>
      <w:pPr/>
      <w:r>
        <w:t xml:space="preserve">NAM (National Arbitration and Mediation) will administer the case under its Comprehensive Dispute Resolution Rules and Procedures in effect when the claim is filed, including mandatory supplemental procedures. NAM’s consumer fairness standards and consumer fee schedule apply when NAM classifies the dispute as a consumer matter. Applicable employment procedures and mandatory protections apply when required; this provision does not determine anyone’s worker classification. </w:t>
      </w:r>
      <w:hyperlink r:id="rId13">
        <w:r>
          <w:rPr>
            <w:color w:val="0000FF"/>
            <w:u w:val="single"/>
            <w:sz w:val="22"/>
            <w:szCs w:val="22"/>
            <w:rFonts w:ascii="Calibri" w:hAnsi="Calibri"/>
          </w:rPr>
          <w:t>Rules, fees, and filing information</w:t>
        </w:r>
      </w:hyperlink>
      <w:r>
        <w:t xml:space="preserve"> are available from NAM or by calling 1-800-358-2550.</w:t>
      </w:r>
    </w:p>
    <w:p>
      <w:pPr/>
      <w:r>
        <w:t xml:space="preserve">Before filing, the claimant must send a notice describing the dispute, the relevant account, and the relief sought. Send a notice to MyDancr at </w:t>
      </w:r>
      <w:hyperlink r:id="rId11">
        <w:r>
          <w:rPr>
            <w:color w:val="0000FF"/>
            <w:u w:val="single"/>
            <w:sz w:val="22"/>
            <w:szCs w:val="22"/>
            <w:rFonts w:ascii="Calibri" w:hAnsi="Calibri"/>
          </w:rPr>
          <w:t>support@mydancr.com</w:t>
        </w:r>
      </w:hyperlink>
      <w:r>
        <w:t xml:space="preserve"> or MyDancr LLC, 30 N Gould St STE R, Sheridan, WY 82801, Attn Legal. MyDancr will use your account email or another address you provide. The parties must attempt resolution for 30 days after receipt. Applicable limitation periods are suspended during that period to the extent permitted by law. A party may file sooner when necessary to preserve a claim or obtain urgent relief.</w:t>
      </w:r>
    </w:p>
    <w:p>
      <w:pPr/>
      <w:r>
        <w:t>Hearings will take place by video or telephone unless the parties agree otherwise or the arbitrator determines another format is required for a fair hearing. Any required in-person hearing must be reasonably convenient to the individual participant. The arbitrator may allow relevant discovery and award the relief available under applicable law and must issue a reasoned written decision.</w:t>
      </w:r>
    </w:p>
    <w:p>
      <w:pPr/>
      <w:r>
        <w:t>Fees follow the applicable NAM schedule and law. MyDancr must pay the amounts assigned to the business and any additional amount required to prevent prohibitive costs from defeating access to arbitration. Each party bears its legal fees unless applicable law permits an award or a separate, enforceable indemnity covers a third-party claim. A good-faith challenge to this document or arbitration does not itself create a penalty or fee obligation.</w:t>
      </w:r>
    </w:p>
    <w:p>
      <w:pPr/>
      <w:r>
        <w:t>Either party may bring an eligible individual claim in small-claims court. Either party may ask a court for temporary relief needed to preserve the status quo pending arbitration. Claims or remedies that cannot lawfully be subjected to predispute arbitration may proceed in court, including where the Ending Forced Arbitration of Sexual Assault and Sexual Harassment Act applies. Nothing prevents government reports or investigations or waives nonwaivable public injunctive relief.</w:t>
      </w:r>
    </w:p>
    <w:p>
      <w:pPr/>
      <w:r>
        <w:t>Claims must proceed individually. Neither party may pursue a class, collective, or representative proceeding, or consolidate different claimants’ disputes, unless all affected parties expressly agree after the dispute arises. A court decides formation of the arbitration agreement, enforceability of this waiver, and other questions the law reserves to courts. The arbitrator decides the remaining arbitrable issues. If a claim or remedy cannot lawfully be subject to this waiver, that part will proceed in court and the remaining arbitrable claims will proceed in arbitration, subject to applicable law.</w:t>
      </w:r>
    </w:p>
    <w:p>
      <w:pPr/>
      <w:r>
        <w:t>If NAM declines to administer and the parties do not agree on a substitute no later than 30 days afterward, either party may proceed in a court with jurisdiction. This fallback does not excuse required fees or eliminate remedies for nonpayment. Applicable law supplies claim deadlines; this document does not shorten them.</w:t>
      </w:r>
    </w:p>
    <w:p>
      <w:pPr/>
      <w:r>
        <w:t xml:space="preserve">You may opt out of this arbitration provision by emailing </w:t>
      </w:r>
      <w:hyperlink r:id="rId11">
        <w:r>
          <w:rPr>
            <w:color w:val="0000FF"/>
            <w:u w:val="single"/>
            <w:sz w:val="22"/>
            <w:szCs w:val="22"/>
            <w:rFonts w:ascii="Calibri" w:hAnsi="Calibri"/>
          </w:rPr>
          <w:t>support@mydancr.com</w:t>
        </w:r>
      </w:hyperlink>
      <w:r>
        <w:t xml:space="preserve"> no later than 30 days after first accepting it. Include your name, account email, and an unambiguous statement that you opt out of arbitration. Opting out does not affect other terms or a separate arbitration agreement you validly accepted.</w:t>
      </w:r>
    </w:p>
    <w:p>
      <w:pPr>
        <w:pStyle w:val="Heading1"/>
      </w:pPr>
      <w:r>
        <w:t>15 Governing law and other terms</w:t>
      </w:r>
    </w:p>
    <w:p>
      <w:pPr/>
      <w:r>
        <w:t>Wyoming law governs, subject to the Federal Arbitration Act and mandatory law. For proceedings permitted in court, you and MyDancr consent to the exclusive jurisdiction and venue of the state and federal courts located in Wyoming, except eligible small-claims cases or a forum required by nonwaivable law. Consumer and worker protections that cannot lawfully be waived remain available.</w:t>
      </w:r>
    </w:p>
    <w:p>
      <w:pPr/>
      <w:r>
        <w:t>This agreement and other documents validly accepted for the relevant feature govern your dancer-account relationship. Section 1 resolves conflicts. You must not transfer your account or rights without MyDancr’s written consent. MyDancr may assign to a successor that assumes its duties in a merger, reorganization, or service transfer, subject to privacy law and nonwaivable rights. Invalid provisions are severable to the extent the remaining provisions can operate lawfully, subject to section 14. Failure to enforce a provision on one occasion does not waive it later.</w:t>
      </w:r>
    </w:p>
    <w:p>
      <w:pPr/>
      <w:r>
        <w:t>Accrued claims, ownership, licenses only for their stated duration, lawful restricted retention, indemnity for covered prior conduct, liability limits, and dispute provisions continue only as needed to give them effect.</w:t>
      </w:r>
    </w:p>
    <w:p>
      <w:pPr>
        <w:pStyle w:val="Heading1"/>
      </w:pPr>
      <w:r>
        <w:t>16 Contact</w:t>
      </w:r>
    </w:p>
    <w:p>
      <w:pPr/>
      <w:r>
        <w:t xml:space="preserve">Email </w:t>
      </w:r>
      <w:hyperlink r:id="rId11">
        <w:r>
          <w:rPr>
            <w:color w:val="0000FF"/>
            <w:u w:val="single"/>
            <w:sz w:val="22"/>
            <w:szCs w:val="22"/>
            <w:rFonts w:ascii="Calibri" w:hAnsi="Calibri"/>
          </w:rPr>
          <w:t>support@mydancr.com</w:t>
        </w:r>
      </w:hyperlink>
      <w:r>
        <w:t xml:space="preserve"> or write to MyDancr LLC, 30 N Gould St STE R, Sheridan, WY 82801.</w:t>
      </w:r>
    </w:p>
    <w:sectPr>
      <w:footerReference w:type="default" r:id="rId14"/>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200" w:line="240" w:lineRule="auto"/>
      <w:jc w:val="left"/>
    </w:pPr>
    <w:rPr>
      <w:rFonts w:ascii="Calibri" w:hAnsi="Calibri"/>
      <w:b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200" w:line="240" w:lineRule="auto" w:before="0"/>
      <w:jc w:val="left"/>
    </w:pPr>
    <w:rPr>
      <w:rFonts w:ascii="Calibri" w:hAnsi="Calibri"/>
      <w:b w:val="0"/>
      <w:color w:val="000000"/>
      <w:sz w:val="22"/>
    </w:rPr>
  </w:style>
  <w:style w:type="character" w:customStyle="1" w:styleId="HeaderChar">
    <w:name w:val="Header Char"/>
    <w:basedOn w:val="DefaultParagraphFont"/>
    <w:link w:val="Header"/>
    <w:uiPriority w:val="99"/>
    <w:rsid w:val="00E618BF"/>
    <w:rPr>
      <w:rFonts w:ascii="Calibri" w:hAnsi="Calibri"/>
      <w:b w:val="0"/>
      <w:color w:val="000000"/>
      <w:sz w:val="22"/>
    </w:rPr>
  </w:style>
  <w:style w:type="paragraph" w:styleId="Footer">
    <w:name w:val="footer"/>
    <w:basedOn w:val="Normal"/>
    <w:link w:val="FooterChar"/>
    <w:uiPriority w:val="99"/>
    <w:unhideWhenUsed/>
    <w:rsid w:val="00E618BF"/>
    <w:pPr>
      <w:widowControl/>
      <w:tabs>
        <w:tab w:val="center" w:pos="4680"/>
        <w:tab w:val="right" w:pos="9360"/>
      </w:tabs>
      <w:spacing w:after="200" w:line="240" w:lineRule="auto" w:before="0"/>
      <w:jc w:val="left"/>
    </w:pPr>
    <w:rPr>
      <w:rFonts w:ascii="Calibri" w:hAnsi="Calibri"/>
      <w:b w:val="0"/>
      <w:color w:val="000000"/>
      <w:sz w:val="22"/>
    </w:rPr>
  </w:style>
  <w:style w:type="character" w:customStyle="1" w:styleId="FooterChar">
    <w:name w:val="Footer Char"/>
    <w:basedOn w:val="DefaultParagraphFont"/>
    <w:link w:val="Footer"/>
    <w:uiPriority w:val="99"/>
    <w:rsid w:val="00E618BF"/>
    <w:rPr>
      <w:rFonts w:ascii="Calibri" w:hAnsi="Calibri"/>
      <w:b w:val="0"/>
      <w:color w:val="000000"/>
      <w:sz w:val="22"/>
    </w:rPr>
  </w:style>
  <w:style w:type="paragraph" w:styleId="Heading1">
    <w:name w:val="heading 1"/>
    <w:basedOn w:val="Normal"/>
    <w:next w:val="Normal"/>
    <w:link w:val="Heading1Char"/>
    <w:uiPriority w:val="9"/>
    <w:qFormat/>
    <w:rsid w:val="00FC693F"/>
    <w:pPr>
      <w:keepNext/>
      <w:keepLines/>
      <w:widowControl/>
      <w:spacing w:before="0" w:after="200" w:line="240" w:lineRule="auto"/>
      <w:jc w:val="left"/>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0" w:after="200" w:line="240" w:lineRule="auto"/>
      <w:jc w:val="left"/>
      <w:outlineLvl w:val="1"/>
    </w:pPr>
    <w:rPr>
      <w:rFonts w:asciiTheme="majorHAnsi" w:eastAsiaTheme="majorEastAsia" w:hAnsiTheme="majorHAnsi" w:cstheme="majorBidi" w:ascii="Calibri" w:hAnsi="Calibri"/>
      <w:b w:val="0"/>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0" w:after="200" w:line="240" w:lineRule="auto"/>
      <w:jc w:val="left"/>
      <w:outlineLvl w:val="2"/>
    </w:pPr>
    <w:rPr>
      <w:rFonts w:asciiTheme="majorHAnsi" w:eastAsiaTheme="majorEastAsia" w:hAnsiTheme="majorHAnsi" w:cstheme="majorBidi" w:ascii="Calibri" w:hAnsi="Calibri"/>
      <w:b w:val="0"/>
      <w:bCs/>
      <w:color w:val="000000"/>
      <w:sz w:val="22"/>
    </w:rPr>
  </w:style>
  <w:style w:type="paragraph" w:styleId="Heading4">
    <w:name w:val="heading 4"/>
    <w:basedOn w:val="Normal"/>
    <w:next w:val="Normal"/>
    <w:link w:val="Heading4Char"/>
    <w:uiPriority w:val="9"/>
    <w:semiHidden/>
    <w:unhideWhenUsed/>
    <w:qFormat/>
    <w:rsid w:val="00FC693F"/>
    <w:pPr>
      <w:keepNext/>
      <w:keepLines/>
      <w:widowControl/>
      <w:spacing w:before="0" w:after="200" w:line="240" w:lineRule="auto"/>
      <w:jc w:val="left"/>
      <w:outlineLvl w:val="3"/>
    </w:pPr>
    <w:rPr>
      <w:rFonts w:asciiTheme="majorHAnsi" w:eastAsiaTheme="majorEastAsia" w:hAnsiTheme="majorHAnsi" w:cstheme="majorBidi" w:ascii="Calibri" w:hAnsi="Calibri"/>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widowControl/>
      <w:spacing w:before="0" w:after="200" w:line="240" w:lineRule="auto"/>
      <w:jc w:val="left"/>
      <w:outlineLvl w:val="4"/>
    </w:pPr>
    <w:rPr>
      <w:rFonts w:asciiTheme="majorHAnsi" w:eastAsiaTheme="majorEastAsia" w:hAnsiTheme="majorHAnsi" w:cstheme="majorBidi" w:ascii="Calibri" w:hAnsi="Calibri"/>
      <w:b w:val="0"/>
      <w:color w:val="000000"/>
      <w:sz w:val="22"/>
    </w:rPr>
  </w:style>
  <w:style w:type="paragraph" w:styleId="Heading6">
    <w:name w:val="heading 6"/>
    <w:basedOn w:val="Normal"/>
    <w:next w:val="Normal"/>
    <w:link w:val="Heading6Char"/>
    <w:uiPriority w:val="9"/>
    <w:semiHidden/>
    <w:unhideWhenUsed/>
    <w:qFormat/>
    <w:rsid w:val="00FC693F"/>
    <w:pPr>
      <w:keepNext/>
      <w:keepLines/>
      <w:widowControl/>
      <w:spacing w:before="0" w:after="200" w:line="240" w:lineRule="auto"/>
      <w:jc w:val="left"/>
      <w:outlineLvl w:val="5"/>
    </w:pPr>
    <w:rPr>
      <w:rFonts w:asciiTheme="majorHAnsi" w:eastAsiaTheme="majorEastAsia" w:hAnsiTheme="majorHAnsi" w:cstheme="majorBidi" w:ascii="Calibri" w:hAnsi="Calibri"/>
      <w:b w:val="0"/>
      <w:i/>
      <w:iCs/>
      <w:color w:val="000000"/>
      <w:sz w:val="22"/>
    </w:rPr>
  </w:style>
  <w:style w:type="paragraph" w:styleId="Heading7">
    <w:name w:val="heading 7"/>
    <w:basedOn w:val="Normal"/>
    <w:next w:val="Normal"/>
    <w:link w:val="Heading7Char"/>
    <w:uiPriority w:val="9"/>
    <w:semiHidden/>
    <w:unhideWhenUsed/>
    <w:qFormat/>
    <w:rsid w:val="00FC693F"/>
    <w:pPr>
      <w:keepNext/>
      <w:keepLines/>
      <w:widowControl/>
      <w:spacing w:before="0" w:after="200" w:line="240" w:lineRule="auto"/>
      <w:jc w:val="left"/>
      <w:outlineLvl w:val="6"/>
    </w:pPr>
    <w:rPr>
      <w:rFonts w:asciiTheme="majorHAnsi" w:eastAsiaTheme="majorEastAsia" w:hAnsiTheme="majorHAnsi" w:cstheme="majorBidi" w:ascii="Calibri" w:hAnsi="Calibri"/>
      <w:b w:val="0"/>
      <w:i/>
      <w:iCs/>
      <w:color w:val="000000"/>
      <w:sz w:val="22"/>
    </w:rPr>
  </w:style>
  <w:style w:type="paragraph" w:styleId="Heading8">
    <w:name w:val="heading 8"/>
    <w:basedOn w:val="Normal"/>
    <w:next w:val="Normal"/>
    <w:link w:val="Heading8Char"/>
    <w:uiPriority w:val="9"/>
    <w:semiHidden/>
    <w:unhideWhenUsed/>
    <w:qFormat/>
    <w:rsid w:val="00FC693F"/>
    <w:pPr>
      <w:keepNext/>
      <w:keepLines/>
      <w:widowControl/>
      <w:spacing w:before="0" w:after="200" w:line="240" w:lineRule="auto"/>
      <w:jc w:val="left"/>
      <w:outlineLvl w:val="7"/>
    </w:pPr>
    <w:rPr>
      <w:rFonts w:asciiTheme="majorHAnsi" w:eastAsiaTheme="majorEastAsia" w:hAnsiTheme="majorHAnsi" w:cstheme="majorBidi" w:ascii="Calibri" w:hAnsi="Calibri"/>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widowControl/>
      <w:spacing w:before="0" w:after="200" w:line="240" w:lineRule="auto"/>
      <w:jc w:val="left"/>
      <w:outlineLvl w:val="8"/>
    </w:pPr>
    <w:rPr>
      <w:rFonts w:asciiTheme="majorHAnsi" w:eastAsiaTheme="majorEastAsia" w:hAnsiTheme="majorHAnsi" w:cstheme="majorBidi" w:ascii="Calibri" w:hAnsi="Calibri"/>
      <w:b w:val="0"/>
      <w:i/>
      <w:iCs/>
      <w:color w:val="000000"/>
      <w:sz w:val="22"/>
      <w:szCs w:val="20"/>
    </w:rPr>
  </w:style>
  <w:style w:type="character" w:default="1" w:styleId="DefaultParagraphFont">
    <w:name w:val="Default Paragraph Font"/>
    <w:uiPriority w:val="1"/>
    <w:semiHidden/>
    <w:unhideWhenUsed/>
    <w:rPr>
      <w:rFonts w:ascii="Calibri" w:hAnsi="Calibri"/>
      <w:b w:val="0"/>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200" w:line="240" w:lineRule="auto" w:before="0"/>
      <w:jc w:val="left"/>
    </w:pPr>
    <w:rPr>
      <w:rFonts w:ascii="Calibri" w:hAnsi="Calibri"/>
      <w:b w:val="0"/>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val="0"/>
      <w:bCs/>
      <w:color w:val="000000"/>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val="0"/>
      <w:bCs/>
      <w:color w:val="000000"/>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val="0"/>
      <w:bCs/>
      <w:color w:val="000000"/>
      <w:sz w:val="22"/>
    </w:rPr>
  </w:style>
  <w:style w:type="paragraph" w:styleId="Title">
    <w:name w:val="Title"/>
    <w:basedOn w:val="Normal"/>
    <w:next w:val="Normal"/>
    <w:link w:val="TitleChar"/>
    <w:uiPriority w:val="10"/>
    <w:qFormat/>
    <w:rsid w:val="00FC693F"/>
    <w:pPr>
      <w:keepNext/>
      <w:widowControl/>
      <w:spacing w:after="200" w:line="240" w:lineRule="auto" w:before="0"/>
      <w:contextualSpacing/>
      <w:jc w:val="left"/>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b w:val="0"/>
      <w:color w:val="000000"/>
      <w:spacing w:val="5"/>
      <w:kern w:val="28"/>
      <w:sz w:val="22"/>
      <w:szCs w:val="52"/>
    </w:rPr>
  </w:style>
  <w:style w:type="paragraph" w:styleId="Subtitle">
    <w:name w:val="Subtitle"/>
    <w:basedOn w:val="Normal"/>
    <w:next w:val="Normal"/>
    <w:link w:val="SubtitleChar"/>
    <w:uiPriority w:val="11"/>
    <w:qFormat/>
    <w:rsid w:val="00FC693F"/>
    <w:pPr>
      <w:widowControl/>
      <w:numPr>
        <w:ilvl w:val="1"/>
      </w:numPr>
      <w:spacing w:before="0" w:after="200" w:line="240" w:lineRule="auto"/>
      <w:jc w:val="left"/>
    </w:pPr>
    <w:rPr>
      <w:rFonts w:asciiTheme="majorHAnsi" w:eastAsiaTheme="majorEastAsia" w:hAnsiTheme="majorHAnsi" w:cstheme="majorBidi" w:ascii="Calibri" w:hAnsi="Calibr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b w:val="0"/>
      <w:i/>
      <w:iCs/>
      <w:color w:val="000000"/>
      <w:spacing w:val="15"/>
      <w:sz w:val="22"/>
      <w:szCs w:val="24"/>
    </w:rPr>
  </w:style>
  <w:style w:type="paragraph" w:styleId="ListParagraph">
    <w:name w:val="List Paragraph"/>
    <w:basedOn w:val="Normal"/>
    <w:uiPriority w:val="34"/>
    <w:qFormat/>
    <w:rsid w:val="00FC693F"/>
    <w:pPr>
      <w:widowControl/>
      <w:spacing w:before="0" w:after="200" w:line="240" w:lineRule="auto"/>
      <w:ind w:left="720"/>
      <w:contextualSpacing/>
      <w:jc w:val="left"/>
    </w:pPr>
    <w:rPr>
      <w:rFonts w:ascii="Calibri" w:hAnsi="Calibri"/>
      <w:b w:val="0"/>
      <w:color w:val="000000"/>
      <w:sz w:val="22"/>
    </w:rPr>
  </w:style>
  <w:style w:type="paragraph" w:styleId="BodyText">
    <w:name w:val="Body Text"/>
    <w:basedOn w:val="Normal"/>
    <w:link w:val="BodyTextChar"/>
    <w:uiPriority w:val="99"/>
    <w:unhideWhenUsed/>
    <w:rsid w:val="00AA1D8D"/>
    <w:pPr>
      <w:widowControl/>
      <w:spacing w:after="200" w:before="0" w:line="240" w:lineRule="auto"/>
      <w:jc w:val="left"/>
    </w:pPr>
    <w:rPr>
      <w:rFonts w:ascii="Calibri" w:hAnsi="Calibri"/>
      <w:b w:val="0"/>
      <w:color w:val="000000"/>
      <w:sz w:val="22"/>
    </w:rPr>
  </w:style>
  <w:style w:type="character" w:customStyle="1" w:styleId="BodyTextChar">
    <w:name w:val="Body Text Char"/>
    <w:basedOn w:val="DefaultParagraphFont"/>
    <w:link w:val="BodyText"/>
    <w:uiPriority w:val="99"/>
    <w:rsid w:val="00AA1D8D"/>
    <w:rPr>
      <w:rFonts w:ascii="Calibri" w:hAnsi="Calibri"/>
      <w:b w:val="0"/>
      <w:color w:val="000000"/>
      <w:sz w:val="22"/>
    </w:rPr>
  </w:style>
  <w:style w:type="paragraph" w:styleId="BodyText2">
    <w:name w:val="Body Text 2"/>
    <w:basedOn w:val="Normal"/>
    <w:link w:val="BodyText2Char"/>
    <w:uiPriority w:val="99"/>
    <w:unhideWhenUsed/>
    <w:rsid w:val="00AA1D8D"/>
    <w:pPr>
      <w:widowControl/>
      <w:spacing w:after="200" w:line="240" w:lineRule="auto" w:before="0"/>
      <w:jc w:val="left"/>
    </w:pPr>
    <w:rPr>
      <w:rFonts w:ascii="Calibri" w:hAnsi="Calibri"/>
      <w:b w:val="0"/>
      <w:color w:val="000000"/>
      <w:sz w:val="22"/>
    </w:rPr>
  </w:style>
  <w:style w:type="character" w:customStyle="1" w:styleId="BodyText2Char">
    <w:name w:val="Body Text 2 Char"/>
    <w:basedOn w:val="DefaultParagraphFont"/>
    <w:link w:val="BodyText2"/>
    <w:uiPriority w:val="99"/>
    <w:rsid w:val="00AA1D8D"/>
    <w:rPr>
      <w:rFonts w:ascii="Calibri" w:hAnsi="Calibri"/>
      <w:b w:val="0"/>
      <w:color w:val="000000"/>
      <w:sz w:val="22"/>
    </w:rPr>
  </w:style>
  <w:style w:type="paragraph" w:styleId="BodyText3">
    <w:name w:val="Body Text 3"/>
    <w:basedOn w:val="Normal"/>
    <w:link w:val="BodyText3Char"/>
    <w:uiPriority w:val="99"/>
    <w:unhideWhenUsed/>
    <w:rsid w:val="00AA1D8D"/>
    <w:pPr>
      <w:widowControl/>
      <w:spacing w:after="200" w:before="0" w:line="240" w:lineRule="auto"/>
      <w:jc w:val="left"/>
    </w:pPr>
    <w:rPr>
      <w:rFonts w:ascii="Calibri" w:hAnsi="Calibri"/>
      <w:b w:val="0"/>
      <w:color w:val="000000"/>
      <w:sz w:val="22"/>
      <w:szCs w:val="16"/>
    </w:rPr>
  </w:style>
  <w:style w:type="character" w:customStyle="1" w:styleId="BodyText3Char">
    <w:name w:val="Body Text 3 Char"/>
    <w:basedOn w:val="DefaultParagraphFont"/>
    <w:link w:val="BodyText3"/>
    <w:uiPriority w:val="99"/>
    <w:rsid w:val="00AA1D8D"/>
    <w:rPr>
      <w:rFonts w:ascii="Calibri" w:hAnsi="Calibri"/>
      <w:b w:val="0"/>
      <w:color w:val="000000"/>
      <w:sz w:val="22"/>
      <w:szCs w:val="16"/>
    </w:rPr>
  </w:style>
  <w:style w:type="paragraph" w:styleId="List">
    <w:name w:val="List"/>
    <w:basedOn w:val="Normal"/>
    <w:uiPriority w:val="99"/>
    <w:unhideWhenUsed/>
    <w:rsid w:val="00AA1D8D"/>
    <w:pPr>
      <w:widowControl/>
      <w:spacing w:before="0" w:after="200" w:line="240" w:lineRule="auto"/>
      <w:ind w:left="360" w:hanging="360"/>
      <w:contextualSpacing/>
      <w:jc w:val="left"/>
    </w:pPr>
    <w:rPr>
      <w:rFonts w:ascii="Calibri" w:hAnsi="Calibri"/>
      <w:b w:val="0"/>
      <w:color w:val="000000"/>
      <w:sz w:val="22"/>
    </w:rPr>
  </w:style>
  <w:style w:type="paragraph" w:styleId="List2">
    <w:name w:val="List 2"/>
    <w:basedOn w:val="Normal"/>
    <w:uiPriority w:val="99"/>
    <w:unhideWhenUsed/>
    <w:rsid w:val="00326F90"/>
    <w:pPr>
      <w:widowControl/>
      <w:spacing w:before="0" w:after="200" w:line="240" w:lineRule="auto"/>
      <w:ind w:left="720" w:hanging="360"/>
      <w:contextualSpacing/>
      <w:jc w:val="left"/>
    </w:pPr>
    <w:rPr>
      <w:rFonts w:ascii="Calibri" w:hAnsi="Calibri"/>
      <w:b w:val="0"/>
      <w:color w:val="000000"/>
      <w:sz w:val="22"/>
    </w:rPr>
  </w:style>
  <w:style w:type="paragraph" w:styleId="List3">
    <w:name w:val="List 3"/>
    <w:basedOn w:val="Normal"/>
    <w:uiPriority w:val="99"/>
    <w:unhideWhenUsed/>
    <w:rsid w:val="00326F90"/>
    <w:pPr>
      <w:widowControl/>
      <w:spacing w:before="0" w:after="200" w:line="240" w:lineRule="auto"/>
      <w:ind w:left="1080" w:hanging="360"/>
      <w:contextualSpacing/>
      <w:jc w:val="left"/>
    </w:pPr>
    <w:rPr>
      <w:rFonts w:ascii="Calibri" w:hAnsi="Calibri"/>
      <w:b w:val="0"/>
      <w:color w:val="000000"/>
      <w:sz w:val="22"/>
    </w:rPr>
  </w:style>
  <w:style w:type="paragraph" w:styleId="ListBullet">
    <w:name w:val="List Bullet"/>
    <w:basedOn w:val="Normal"/>
    <w:uiPriority w:val="99"/>
    <w:unhideWhenUsed/>
    <w:rsid w:val="00326F90"/>
    <w:pPr>
      <w:widowControl/>
      <w:numPr>
        <w:numId w:val="1"/>
      </w:numPr>
      <w:spacing w:before="0" w:after="200" w:line="240" w:lineRule="auto"/>
      <w:contextualSpacing/>
      <w:jc w:val="left"/>
    </w:pPr>
    <w:rPr>
      <w:rFonts w:ascii="Calibri" w:hAnsi="Calibri"/>
      <w:b w:val="0"/>
      <w:color w:val="000000"/>
      <w:sz w:val="22"/>
    </w:rPr>
  </w:style>
  <w:style w:type="paragraph" w:styleId="ListBullet2">
    <w:name w:val="List Bullet 2"/>
    <w:basedOn w:val="Normal"/>
    <w:uiPriority w:val="99"/>
    <w:unhideWhenUsed/>
    <w:rsid w:val="00326F90"/>
    <w:pPr>
      <w:widowControl/>
      <w:numPr>
        <w:numId w:val="2"/>
      </w:numPr>
      <w:spacing w:before="0" w:after="200" w:line="240" w:lineRule="auto"/>
      <w:contextualSpacing/>
      <w:jc w:val="left"/>
    </w:pPr>
    <w:rPr>
      <w:rFonts w:ascii="Calibri" w:hAnsi="Calibri"/>
      <w:b w:val="0"/>
      <w:color w:val="000000"/>
      <w:sz w:val="22"/>
    </w:rPr>
  </w:style>
  <w:style w:type="paragraph" w:styleId="ListBullet3">
    <w:name w:val="List Bullet 3"/>
    <w:basedOn w:val="Normal"/>
    <w:uiPriority w:val="99"/>
    <w:unhideWhenUsed/>
    <w:rsid w:val="00326F90"/>
    <w:pPr>
      <w:widowControl/>
      <w:numPr>
        <w:numId w:val="3"/>
      </w:numPr>
      <w:spacing w:before="0" w:after="200" w:line="240" w:lineRule="auto"/>
      <w:contextualSpacing/>
      <w:jc w:val="left"/>
    </w:pPr>
    <w:rPr>
      <w:rFonts w:ascii="Calibri" w:hAnsi="Calibri"/>
      <w:b w:val="0"/>
      <w:color w:val="000000"/>
      <w:sz w:val="22"/>
    </w:rPr>
  </w:style>
  <w:style w:type="paragraph" w:styleId="ListNumber">
    <w:name w:val="List Number"/>
    <w:basedOn w:val="Normal"/>
    <w:uiPriority w:val="99"/>
    <w:unhideWhenUsed/>
    <w:rsid w:val="00326F90"/>
    <w:pPr>
      <w:widowControl/>
      <w:numPr>
        <w:numId w:val="5"/>
      </w:numPr>
      <w:spacing w:before="0" w:after="200" w:line="240" w:lineRule="auto"/>
      <w:contextualSpacing/>
      <w:jc w:val="left"/>
    </w:pPr>
    <w:rPr>
      <w:rFonts w:ascii="Calibri" w:hAnsi="Calibri"/>
      <w:b w:val="0"/>
      <w:color w:val="000000"/>
      <w:sz w:val="22"/>
    </w:rPr>
  </w:style>
  <w:style w:type="paragraph" w:styleId="ListNumber2">
    <w:name w:val="List Number 2"/>
    <w:basedOn w:val="Normal"/>
    <w:uiPriority w:val="99"/>
    <w:unhideWhenUsed/>
    <w:rsid w:val="0029639D"/>
    <w:pPr>
      <w:widowControl/>
      <w:numPr>
        <w:numId w:val="6"/>
      </w:numPr>
      <w:spacing w:before="0" w:after="200" w:line="240" w:lineRule="auto"/>
      <w:contextualSpacing/>
      <w:jc w:val="left"/>
    </w:pPr>
    <w:rPr>
      <w:rFonts w:ascii="Calibri" w:hAnsi="Calibri"/>
      <w:b w:val="0"/>
      <w:color w:val="000000"/>
      <w:sz w:val="22"/>
    </w:rPr>
  </w:style>
  <w:style w:type="paragraph" w:styleId="ListNumber3">
    <w:name w:val="List Number 3"/>
    <w:basedOn w:val="Normal"/>
    <w:uiPriority w:val="99"/>
    <w:unhideWhenUsed/>
    <w:rsid w:val="0029639D"/>
    <w:pPr>
      <w:widowControl/>
      <w:numPr>
        <w:numId w:val="7"/>
      </w:numPr>
      <w:spacing w:before="0" w:after="200" w:line="240" w:lineRule="auto"/>
      <w:contextualSpacing/>
      <w:jc w:val="left"/>
    </w:pPr>
    <w:rPr>
      <w:rFonts w:ascii="Calibri" w:hAnsi="Calibri"/>
      <w:b w:val="0"/>
      <w:color w:val="000000"/>
      <w:sz w:val="22"/>
    </w:rPr>
  </w:style>
  <w:style w:type="paragraph" w:styleId="ListContinue">
    <w:name w:val="List Continue"/>
    <w:basedOn w:val="Normal"/>
    <w:uiPriority w:val="99"/>
    <w:unhideWhenUsed/>
    <w:rsid w:val="0029639D"/>
    <w:pPr>
      <w:widowControl/>
      <w:spacing w:after="200" w:before="0" w:line="240" w:lineRule="auto"/>
      <w:ind w:left="360"/>
      <w:contextualSpacing/>
      <w:jc w:val="left"/>
    </w:pPr>
    <w:rPr>
      <w:rFonts w:ascii="Calibri" w:hAnsi="Calibri"/>
      <w:b w:val="0"/>
      <w:color w:val="000000"/>
      <w:sz w:val="22"/>
    </w:rPr>
  </w:style>
  <w:style w:type="paragraph" w:styleId="ListContinue2">
    <w:name w:val="List Continue 2"/>
    <w:basedOn w:val="Normal"/>
    <w:uiPriority w:val="99"/>
    <w:unhideWhenUsed/>
    <w:rsid w:val="0029639D"/>
    <w:pPr>
      <w:widowControl/>
      <w:spacing w:after="200" w:before="0" w:line="240" w:lineRule="auto"/>
      <w:ind w:left="720"/>
      <w:contextualSpacing/>
      <w:jc w:val="left"/>
    </w:pPr>
    <w:rPr>
      <w:rFonts w:ascii="Calibri" w:hAnsi="Calibri"/>
      <w:b w:val="0"/>
      <w:color w:val="000000"/>
      <w:sz w:val="22"/>
    </w:rPr>
  </w:style>
  <w:style w:type="paragraph" w:styleId="ListContinue3">
    <w:name w:val="List Continue 3"/>
    <w:basedOn w:val="Normal"/>
    <w:uiPriority w:val="99"/>
    <w:unhideWhenUsed/>
    <w:rsid w:val="0029639D"/>
    <w:pPr>
      <w:widowControl/>
      <w:spacing w:after="200" w:before="0" w:line="240" w:lineRule="auto"/>
      <w:ind w:left="1080"/>
      <w:contextualSpacing/>
      <w:jc w:val="left"/>
    </w:pPr>
    <w:rPr>
      <w:rFonts w:ascii="Calibri" w:hAnsi="Calibri"/>
      <w:b w:val="0"/>
      <w:color w:val="000000"/>
      <w:sz w:val="22"/>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spacing w:before="0" w:after="200" w:line="240" w:lineRule="auto"/>
      <w:jc w:val="left"/>
    </w:pPr>
    <w:rPr>
      <w:rFonts w:ascii="Calibri" w:hAnsi="Calibri"/>
      <w:b w:val="0"/>
      <w:color w:val="000000"/>
      <w:sz w:val="22"/>
      <w:szCs w:val="20"/>
    </w:rPr>
  </w:style>
  <w:style w:type="character" w:customStyle="1" w:styleId="MacroTextChar">
    <w:name w:val="Macro Text Char"/>
    <w:basedOn w:val="DefaultParagraphFont"/>
    <w:link w:val="MacroText"/>
    <w:uiPriority w:val="99"/>
    <w:rsid w:val="0029639D"/>
    <w:rPr>
      <w:rFonts w:ascii="Calibri" w:hAnsi="Calibri"/>
      <w:b w:val="0"/>
      <w:color w:val="000000"/>
      <w:sz w:val="22"/>
      <w:szCs w:val="20"/>
    </w:rPr>
  </w:style>
  <w:style w:type="paragraph" w:styleId="Quote">
    <w:name w:val="Quote"/>
    <w:basedOn w:val="Normal"/>
    <w:next w:val="Normal"/>
    <w:link w:val="QuoteChar"/>
    <w:uiPriority w:val="29"/>
    <w:qFormat/>
    <w:rsid w:val="00FC693F"/>
    <w:pPr>
      <w:widowControl/>
      <w:spacing w:before="0" w:after="200" w:line="240" w:lineRule="auto"/>
      <w:jc w:val="left"/>
    </w:pPr>
    <w:rPr>
      <w:rFonts w:ascii="Calibri" w:hAnsi="Calibri"/>
      <w:b w:val="0"/>
      <w:i/>
      <w:iCs/>
      <w:color w:val="000000"/>
      <w:sz w:val="22"/>
    </w:rPr>
  </w:style>
  <w:style w:type="character" w:customStyle="1" w:styleId="QuoteChar">
    <w:name w:val="Quote Char"/>
    <w:basedOn w:val="DefaultParagraphFont"/>
    <w:link w:val="Quote"/>
    <w:uiPriority w:val="29"/>
    <w:rsid w:val="00FC693F"/>
    <w:rPr>
      <w:rFonts w:ascii="Calibri" w:hAnsi="Calibri"/>
      <w:b w:val="0"/>
      <w:i/>
      <w:iCs/>
      <w:color w:val="000000"/>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val="0"/>
      <w:bCs/>
      <w:i/>
      <w:iCs/>
      <w:color w:val="000000"/>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b w:val="0"/>
      <w:color w:val="000000"/>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b w:val="0"/>
      <w:i/>
      <w:iCs/>
      <w:color w:val="000000"/>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b w:val="0"/>
      <w:i/>
      <w:iCs/>
      <w:color w:val="000000"/>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b w:val="0"/>
      <w:color w:val="000000"/>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b w:val="0"/>
      <w:i/>
      <w:iCs/>
      <w:color w:val="000000"/>
      <w:sz w:val="22"/>
      <w:szCs w:val="20"/>
    </w:rPr>
  </w:style>
  <w:style w:type="paragraph" w:styleId="Caption">
    <w:name w:val="caption"/>
    <w:basedOn w:val="Normal"/>
    <w:next w:val="Normal"/>
    <w:uiPriority w:val="35"/>
    <w:semiHidden/>
    <w:unhideWhenUsed/>
    <w:qFormat/>
    <w:rsid w:val="00FC693F"/>
    <w:pPr>
      <w:widowControl/>
      <w:spacing w:line="240" w:lineRule="auto" w:before="0" w:after="200"/>
      <w:jc w:val="left"/>
    </w:pPr>
    <w:rPr>
      <w:rFonts w:ascii="Calibri" w:hAnsi="Calibri"/>
      <w:b w:val="0"/>
      <w:bCs/>
      <w:color w:val="000000"/>
      <w:sz w:val="22"/>
      <w:szCs w:val="18"/>
    </w:rPr>
  </w:style>
  <w:style w:type="character" w:styleId="Strong">
    <w:name w:val="Strong"/>
    <w:basedOn w:val="DefaultParagraphFont"/>
    <w:uiPriority w:val="22"/>
    <w:qFormat/>
    <w:rsid w:val="00FC693F"/>
    <w:rPr>
      <w:rFonts w:ascii="Calibri" w:hAnsi="Calibri"/>
      <w:b w:val="0"/>
      <w:bCs/>
      <w:color w:val="000000"/>
      <w:sz w:val="22"/>
    </w:rPr>
  </w:style>
  <w:style w:type="character" w:styleId="Emphasis">
    <w:name w:val="Emphasis"/>
    <w:basedOn w:val="DefaultParagraphFont"/>
    <w:uiPriority w:val="20"/>
    <w:qFormat/>
    <w:rsid w:val="00FC693F"/>
    <w:rPr>
      <w:rFonts w:ascii="Calibri" w:hAnsi="Calibri"/>
      <w:b w:val="0"/>
      <w:i/>
      <w:iCs/>
      <w:color w:val="000000"/>
      <w:sz w:val="22"/>
    </w:rPr>
  </w:style>
  <w:style w:type="paragraph" w:styleId="IntenseQuote">
    <w:name w:val="Intense Quote"/>
    <w:basedOn w:val="Normal"/>
    <w:next w:val="Normal"/>
    <w:link w:val="IntenseQuoteChar"/>
    <w:uiPriority w:val="30"/>
    <w:qFormat/>
    <w:rsid w:val="00FC693F"/>
    <w:pPr>
      <w:widowControl/>
      <w:spacing w:before="0" w:after="200" w:line="240" w:lineRule="auto"/>
      <w:ind w:left="936" w:right="936"/>
      <w:jc w:val="left"/>
    </w:pPr>
    <w:rPr>
      <w:rFonts w:ascii="Calibri" w:hAnsi="Calibri"/>
      <w:b w:val="0"/>
      <w:bCs/>
      <w:i/>
      <w:iCs/>
      <w:color w:val="000000"/>
      <w:sz w:val="22"/>
    </w:rPr>
  </w:style>
  <w:style w:type="character" w:customStyle="1" w:styleId="IntenseQuoteChar">
    <w:name w:val="Intense Quote Char"/>
    <w:basedOn w:val="DefaultParagraphFont"/>
    <w:link w:val="IntenseQuote"/>
    <w:uiPriority w:val="30"/>
    <w:rsid w:val="00FC693F"/>
    <w:rPr>
      <w:rFonts w:ascii="Calibri" w:hAnsi="Calibri"/>
      <w:b w:val="0"/>
      <w:bCs/>
      <w:i/>
      <w:iCs/>
      <w:color w:val="000000"/>
      <w:sz w:val="22"/>
    </w:rPr>
  </w:style>
  <w:style w:type="character" w:styleId="SubtleEmphasis">
    <w:name w:val="Subtle Emphasis"/>
    <w:basedOn w:val="DefaultParagraphFont"/>
    <w:uiPriority w:val="19"/>
    <w:qFormat/>
    <w:rsid w:val="00FC693F"/>
    <w:rPr>
      <w:rFonts w:ascii="Calibri" w:hAnsi="Calibri"/>
      <w:b w:val="0"/>
      <w:i/>
      <w:iCs/>
      <w:color w:val="000000"/>
      <w:sz w:val="22"/>
    </w:rPr>
  </w:style>
  <w:style w:type="character" w:styleId="IntenseEmphasis">
    <w:name w:val="Intense Emphasis"/>
    <w:basedOn w:val="DefaultParagraphFont"/>
    <w:uiPriority w:val="21"/>
    <w:qFormat/>
    <w:rsid w:val="00FC693F"/>
    <w:rPr>
      <w:rFonts w:ascii="Calibri" w:hAnsi="Calibri"/>
      <w:b w:val="0"/>
      <w:bCs/>
      <w:i/>
      <w:iCs/>
      <w:color w:val="000000"/>
      <w:sz w:val="22"/>
    </w:rPr>
  </w:style>
  <w:style w:type="character" w:styleId="SubtleReference">
    <w:name w:val="Subtle Reference"/>
    <w:basedOn w:val="DefaultParagraphFont"/>
    <w:uiPriority w:val="31"/>
    <w:qFormat/>
    <w:rsid w:val="00FC693F"/>
    <w:rPr>
      <w:rFonts w:ascii="Calibri" w:hAnsi="Calibri"/>
      <w:b w:val="0"/>
      <w:smallCaps/>
      <w:color w:val="000000"/>
      <w:sz w:val="22"/>
      <w:u w:val="single"/>
    </w:rPr>
  </w:style>
  <w:style w:type="character" w:styleId="IntenseReference">
    <w:name w:val="Intense Reference"/>
    <w:basedOn w:val="DefaultParagraphFont"/>
    <w:uiPriority w:val="32"/>
    <w:qFormat/>
    <w:rsid w:val="00FC693F"/>
    <w:rPr>
      <w:rFonts w:ascii="Calibri" w:hAnsi="Calibri"/>
      <w:b w:val="0"/>
      <w:bCs/>
      <w:smallCaps/>
      <w:color w:val="000000"/>
      <w:spacing w:val="5"/>
      <w:sz w:val="22"/>
      <w:u w:val="single"/>
    </w:rPr>
  </w:style>
  <w:style w:type="character" w:styleId="BookTitle">
    <w:name w:val="Book Title"/>
    <w:basedOn w:val="DefaultParagraphFont"/>
    <w:uiPriority w:val="33"/>
    <w:qFormat/>
    <w:rsid w:val="00FC693F"/>
    <w:rPr>
      <w:rFonts w:ascii="Calibri" w:hAnsi="Calibri"/>
      <w:b w:val="0"/>
      <w:bCs/>
      <w:smallCaps/>
      <w:color w:val="000000"/>
      <w:spacing w:val="5"/>
      <w:sz w:val="22"/>
    </w:rPr>
  </w:style>
  <w:style w:type="paragraph" w:styleId="TOCHeading">
    <w:name w:val="TOC Heading"/>
    <w:basedOn w:val="Heading1"/>
    <w:next w:val="Normal"/>
    <w:uiPriority w:val="39"/>
    <w:semiHidden/>
    <w:unhideWhenUsed/>
    <w:qFormat/>
    <w:rsid w:val="00FC693F"/>
    <w:pPr>
      <w:widowControl/>
      <w:spacing w:before="0" w:after="200" w:line="240" w:lineRule="auto"/>
      <w:jc w:val="left"/>
      <w:outlineLvl w:val="9"/>
    </w:pPr>
    <w:rPr>
      <w:rFonts w:ascii="Calibri" w:hAnsi="Calibri"/>
      <w:b w:val="0"/>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yperlink" Target="https://www.mydancr.com/legal" TargetMode="External"/><Relationship Id="rId10" Type="http://schemas.openxmlformats.org/officeDocument/2006/relationships/hyperlink" Target="https://www.mydancr.com/privacy" TargetMode="External"/><Relationship Id="rId11" Type="http://schemas.openxmlformats.org/officeDocument/2006/relationships/hyperlink" Target="mailto:support@mydancr.com" TargetMode="External"/><Relationship Id="rId12" Type="http://schemas.openxmlformats.org/officeDocument/2006/relationships/hyperlink" Target="https://www.mydancr.com/dmca" TargetMode="External"/><Relationship Id="rId13" Type="http://schemas.openxmlformats.org/officeDocument/2006/relationships/hyperlink" Target="https://www.namadr.com/resources/rules-fees-form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