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Federal Performer Records Notice</w:t>
      </w:r>
    </w:p>
    <w:p>
      <w:pPr/>
      <w:r>
        <w:t>Last updated: October 30, 2026</w:t>
      </w:r>
    </w:p>
    <w:p>
      <w:pPr/>
      <w:r>
        <w:t>18 U.S.C. §§ 2257 and 2257A</w:t>
      </w:r>
    </w:p>
    <w:p>
      <w:pPr/>
      <w:r>
        <w:t>MyDancr permits nonexplicit promotional images and videos of verified adult dancers. Covered bikinis, lingerie, and thongs may be permitted, but the service prohibits nudity, actual or simulated sexual acts, and lascivious exhibition of the anus, genitals, or pubic area. Dancer media must show only the submitting adult, who must have been at least 18 when it was created.</w:t>
      </w:r>
    </w:p>
    <w:p>
      <w:pPr/>
      <w:r>
        <w:t>These restrictions apply to profile media, MyDancr TV, and authorized public club embeds. They do not authorize an unreviewed live feed or another feature carrying sexually explicit material.</w:t>
      </w:r>
    </w:p>
    <w:p>
      <w:pPr/>
      <w:r>
        <w:t>The performer-recordkeeping and labeling requirements of 18 U.S.C. §§ 2257 and 2257A concern covered depictions of sexually explicit conduct. The nonexplicit promotional content permitted by MyDancr’s rules does not include those depictions. MyDancr therefore does not provide a records-custodian label for the permitted promotional material under those provisions.</w:t>
      </w:r>
    </w:p>
    <w:p>
      <w:pPr/>
      <w:r>
        <w:t>This notice addresses the content MyDancr permits. It does not claim the historical-depiction exemption in 28 C.F.R. § 75.7. Identity verification alone does not establish compliance for prohibited sexually explicit material or authorize its publication.</w:t>
      </w:r>
    </w:p>
    <w:p>
      <w:pPr/>
      <w:r>
        <w:t xml:space="preserve">Report material that appears to violate these restrictions through the available Report control or </w:t>
      </w:r>
      <w:hyperlink r:id="rId9">
        <w:r>
          <w:rPr>
            <w:color w:val="0000FF"/>
            <w:u w:val="single"/>
            <w:sz w:val="22"/>
            <w:szCs w:val="22"/>
            <w:rFonts w:ascii="Calibri" w:hAnsi="Calibri"/>
          </w:rPr>
          <w:t>support@mydancr.com</w:t>
        </w:r>
      </w:hyperlink>
      <w:r>
        <w:t xml:space="preserve">. The Report Harmful Content notice and other policies are available through the </w:t>
      </w:r>
      <w:hyperlink r:id="rId10">
        <w:r>
          <w:rPr>
            <w:color w:val="0000FF"/>
            <w:u w:val="single"/>
            <w:sz w:val="22"/>
            <w:szCs w:val="22"/>
            <w:rFonts w:ascii="Calibri" w:hAnsi="Calibri"/>
          </w:rPr>
          <w:t>legal index</w:t>
        </w:r>
      </w:hyperlink>
      <w:r>
        <w:t>. MyDancr may restrict or remove prohibited material and review the relevant account. Any proposal to expand the permitted content requires a separate recordkeeping and legal review before it is offered.</w:t>
      </w:r>
    </w:p>
    <w:sectPr>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mailto:support@mydancr.com" TargetMode="External"/><Relationship Id="rId10" Type="http://schemas.openxmlformats.org/officeDocument/2006/relationships/hyperlink" Target="https://www.mydancr.com/lega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