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Privacy Policy</w:t>
      </w:r>
    </w:p>
    <w:p>
      <w:pPr/>
      <w:r>
        <w:t>Last updated: October 30, 2026</w:t>
      </w:r>
    </w:p>
    <w:p>
      <w:pPr/>
      <w:r>
        <w:t>MyDancr LLC, a Wyoming limited liability company (“</w:t>
      </w:r>
      <w:r>
        <w:rPr>
          <w:b/>
        </w:rPr>
        <w:t>MyDancr</w:t>
      </w:r>
      <w:r>
        <w:t>,” “</w:t>
      </w:r>
      <w:r>
        <w:rPr>
          <w:b/>
        </w:rPr>
        <w:t>we</w:t>
      </w:r>
      <w:r>
        <w:t>,” or “</w:t>
      </w:r>
      <w:r>
        <w:rPr>
          <w:b/>
        </w:rPr>
        <w:t>us</w:t>
      </w:r>
      <w:r>
        <w:t xml:space="preserve">”), operates MyDancr.com and its account, discovery, media, club, request, and notification features. This policy explains how we collect, use, and disclose personal information through those features. What we collect and disclose depends on your role and choices. Contact </w:t>
      </w:r>
      <w:hyperlink r:id="rId9">
        <w:r>
          <w:rPr>
            <w:color w:val="0000FF"/>
            <w:u w:val="single"/>
            <w:sz w:val="22"/>
            <w:szCs w:val="22"/>
            <w:rFonts w:ascii="Calibri" w:hAnsi="Calibri"/>
          </w:rPr>
          <w:t>support@mydancr.com</w:t>
        </w:r>
      </w:hyperlink>
      <w:r>
        <w:t xml:space="preserve"> or MyDancr LLC, 30 N Gould St STE R, Sheridan, WY 82801 with privacy questions.</w:t>
      </w:r>
    </w:p>
    <w:p>
      <w:pPr/>
      <w:r>
        <w:t xml:space="preserve">The </w:t>
      </w:r>
      <w:hyperlink r:id="rId10">
        <w:r>
          <w:rPr>
            <w:color w:val="0000FF"/>
            <w:u w:val="single"/>
            <w:sz w:val="22"/>
            <w:szCs w:val="22"/>
            <w:rFonts w:ascii="Calibri" w:hAnsi="Calibri"/>
          </w:rPr>
          <w:t>California Privacy Notice</w:t>
        </w:r>
      </w:hyperlink>
      <w:r>
        <w:t xml:space="preserve"> provides additional California disclosures. The Dancer Verification and Biometric Privacy Notice, available through the </w:t>
      </w:r>
      <w:hyperlink r:id="rId11">
        <w:r>
          <w:rPr>
            <w:color w:val="0000FF"/>
            <w:u w:val="single"/>
            <w:sz w:val="22"/>
            <w:szCs w:val="22"/>
            <w:rFonts w:ascii="Calibri" w:hAnsi="Calibri"/>
          </w:rPr>
          <w:t>legal index</w:t>
        </w:r>
      </w:hyperlink>
      <w:r>
        <w:t>, provides the public biometric-retention rules and the separate preverification consent notice. Acknowledging this policy does not give any separately required consent.</w:t>
      </w:r>
    </w:p>
    <w:p>
      <w:pPr>
        <w:pStyle w:val="Heading1"/>
      </w:pPr>
      <w:r>
        <w:t>1 Information and sources</w:t>
      </w:r>
    </w:p>
    <w:p>
      <w:pPr/>
      <w:r>
        <w:t>We receive information from you, your use of the service, participating clubs, and providers that support authentication, verification, hosting, communications, moderation, payments, and related functions. Information provided to a vendor on our behalf is still addressed here when it is part of the MyDancr process.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44"/>
        <w:gridCol w:w="5256"/>
        <w:gridCol w:w="2160"/>
      </w:tblGrid>
      <w:tr>
        <w:trPr>
          <w:tblHeader/>
          <w:cantSplit/>
        </w:trPr>
        <w:tc>
          <w:tcPr>
            <w:tcW w:type="dxa" w:w="1944"/>
            <w:shd w:fill="EEEEEE"/>
          </w:tcPr>
          <w:p>
            <w:pPr>
              <w:spacing w:after="100"/>
            </w:pPr>
            <w:r>
              <w:rPr>
                <w:b/>
              </w:rPr>
              <w:t>Information</w:t>
            </w:r>
          </w:p>
        </w:tc>
        <w:tc>
          <w:tcPr>
            <w:tcW w:type="dxa" w:w="5256"/>
            <w:shd w:fill="EEEEEE"/>
          </w:tcPr>
          <w:p>
            <w:pPr>
              <w:spacing w:after="100"/>
            </w:pPr>
            <w:r>
              <w:rPr>
                <w:b/>
              </w:rPr>
              <w:t>Examples and purposes</w:t>
            </w:r>
          </w:p>
        </w:tc>
        <w:tc>
          <w:tcPr>
            <w:tcW w:type="dxa" w:w="2160"/>
            <w:shd w:fill="EEEEEE"/>
          </w:tcPr>
          <w:p>
            <w:pPr>
              <w:spacing w:after="100"/>
            </w:pPr>
            <w:r>
              <w:rPr>
                <w:b/>
              </w:rPr>
              <w:t>Sources</w:t>
            </w:r>
          </w:p>
        </w:tc>
      </w:tr>
      <w:tr>
        <w:trPr>
          <w:cantSplit/>
        </w:trPr>
        <w:tc>
          <w:tcPr>
            <w:tcW w:type="dxa" w:w="1944"/>
          </w:tcPr>
          <w:p>
            <w:pPr>
              <w:spacing w:after="100"/>
            </w:pPr>
            <w:r>
              <w:t>Account and authority</w:t>
            </w:r>
          </w:p>
        </w:tc>
        <w:tc>
          <w:tcPr>
            <w:tcW w:type="dxa" w:w="5256"/>
          </w:tcPr>
          <w:p>
            <w:pPr>
              <w:spacing w:after="100"/>
            </w:pPr>
            <w:r>
              <w:t>Email, account or display name, password authentication records, role, email confirmation, invitation, club membership, authorized representative and authority information; used for access, security, and administration.</w:t>
            </w:r>
          </w:p>
        </w:tc>
        <w:tc>
          <w:tcPr>
            <w:tcW w:type="dxa" w:w="2160"/>
          </w:tcPr>
          <w:p>
            <w:pPr>
              <w:spacing w:after="100"/>
            </w:pPr>
            <w:r>
              <w:t>You; club invitations and applications; authentication activity.</w:t>
            </w:r>
          </w:p>
        </w:tc>
      </w:tr>
      <w:tr>
        <w:trPr>
          <w:cantSplit/>
        </w:trPr>
        <w:tc>
          <w:tcPr>
            <w:tcW w:type="dxa" w:w="1944"/>
          </w:tcPr>
          <w:p>
            <w:pPr>
              <w:spacing w:after="100"/>
            </w:pPr>
            <w:r>
              <w:t>Dancer profile and activity</w:t>
            </w:r>
          </w:p>
        </w:tc>
        <w:tc>
          <w:tcPr>
            <w:tcW w:type="dxa" w:w="5256"/>
          </w:tcPr>
          <w:p>
            <w:pPr>
              <w:spacing w:after="100"/>
            </w:pPr>
            <w:r>
              <w:t>Stage name, city, approved photos and videos, supported links, affiliations, visibility, check-ins, checkouts, roster modes and time, schedules, and profile interactions; used to operate profiles, rosters, and results.</w:t>
            </w:r>
          </w:p>
        </w:tc>
        <w:tc>
          <w:tcPr>
            <w:tcW w:type="dxa" w:w="2160"/>
          </w:tcPr>
          <w:p>
            <w:pPr>
              <w:spacing w:after="100"/>
            </w:pPr>
            <w:r>
              <w:t>You; club decisions; recorded service activity.</w:t>
            </w:r>
          </w:p>
        </w:tc>
      </w:tr>
      <w:tr>
        <w:trPr>
          <w:cantSplit/>
        </w:trPr>
        <w:tc>
          <w:tcPr>
            <w:tcW w:type="dxa" w:w="1944"/>
          </w:tcPr>
          <w:p>
            <w:pPr>
              <w:spacing w:after="100"/>
            </w:pPr>
            <w:r>
              <w:t>Verification and biometrics</w:t>
            </w:r>
          </w:p>
        </w:tc>
        <w:tc>
          <w:tcPr>
            <w:tcW w:type="dxa" w:w="5256"/>
          </w:tcPr>
          <w:p>
            <w:pPr>
              <w:spacing w:after="100"/>
            </w:pPr>
            <w:r>
              <w:t>Government ID, extracted document fields, live selfie images or video, facial comparison and liveness processing, results, and review information; used for identity and age eligibility and related security and support.</w:t>
            </w:r>
          </w:p>
        </w:tc>
        <w:tc>
          <w:tcPr>
            <w:tcW w:type="dxa" w:w="2160"/>
          </w:tcPr>
          <w:p>
            <w:pPr>
              <w:spacing w:after="100"/>
            </w:pPr>
            <w:r>
              <w:t>You through Ondato; Ondato outcomes and accessible records.</w:t>
            </w:r>
          </w:p>
        </w:tc>
      </w:tr>
      <w:tr>
        <w:trPr>
          <w:cantSplit/>
        </w:trPr>
        <w:tc>
          <w:tcPr>
            <w:tcW w:type="dxa" w:w="1944"/>
          </w:tcPr>
          <w:p>
            <w:pPr>
              <w:spacing w:after="100"/>
            </w:pPr>
            <w:r>
              <w:t>Requests and access</w:t>
            </w:r>
          </w:p>
        </w:tc>
        <w:tc>
          <w:tcPr>
            <w:tcW w:type="dxa" w:w="5256"/>
          </w:tcPr>
          <w:p>
            <w:pPr>
              <w:spacing w:after="100"/>
            </w:pPr>
            <w:r>
              <w:t>Guest-list and pass details; pickup name, phone, email, location, and party size; table/link references, selected dancer, timing and statuses; VIP invitation, name, private club nickname, notes, requests, responses, and venue membership.</w:t>
            </w:r>
          </w:p>
        </w:tc>
        <w:tc>
          <w:tcPr>
            <w:tcW w:type="dxa" w:w="2160"/>
          </w:tcPr>
          <w:p>
            <w:pPr>
              <w:spacing w:after="100"/>
            </w:pPr>
            <w:r>
              <w:t>You; the selected club; feature activity.</w:t>
            </w:r>
          </w:p>
        </w:tc>
      </w:tr>
      <w:tr>
        <w:trPr>
          <w:cantSplit/>
        </w:trPr>
        <w:tc>
          <w:tcPr>
            <w:tcW w:type="dxa" w:w="1944"/>
          </w:tcPr>
          <w:p>
            <w:pPr>
              <w:spacing w:after="100"/>
            </w:pPr>
            <w:r>
              <w:t>Commercial and billing</w:t>
            </w:r>
          </w:p>
        </w:tc>
        <w:tc>
          <w:tcPr>
            <w:tcW w:type="dxa" w:w="5256"/>
          </w:tcPr>
          <w:p>
            <w:pPr>
              <w:spacing w:after="100"/>
            </w:pPr>
            <w:r>
              <w:t>Club legal and business details, approved Orders, subscription selections, invoices, taxes, payment status, and processor references. Dancers and guests do not pay MyDancr for dancer services.</w:t>
            </w:r>
          </w:p>
        </w:tc>
        <w:tc>
          <w:tcPr>
            <w:tcW w:type="dxa" w:w="2160"/>
          </w:tcPr>
          <w:p>
            <w:pPr>
              <w:spacing w:after="100"/>
            </w:pPr>
            <w:r>
              <w:t>Club representatives; payment provider; subscription records.</w:t>
            </w:r>
          </w:p>
        </w:tc>
      </w:tr>
      <w:tr>
        <w:trPr>
          <w:cantSplit/>
        </w:trPr>
        <w:tc>
          <w:tcPr>
            <w:tcW w:type="dxa" w:w="1944"/>
          </w:tcPr>
          <w:p>
            <w:pPr>
              <w:spacing w:after="100"/>
            </w:pPr>
            <w:r>
              <w:t>Preferences and acceptance</w:t>
            </w:r>
          </w:p>
        </w:tc>
        <w:tc>
          <w:tcPr>
            <w:tcW w:type="dxa" w:w="5256"/>
          </w:tcPr>
          <w:p>
            <w:pPr>
              <w:spacing w:after="100"/>
            </w:pPr>
            <w:r>
              <w:t>Agreement versions, displayed acceptance wording, affirmative action, account, invitation, request or session references, server time, marketing and sharing choices, unsubscribes, suppression records, and device notification preferences.</w:t>
            </w:r>
          </w:p>
        </w:tc>
        <w:tc>
          <w:tcPr>
            <w:tcW w:type="dxa" w:w="2160"/>
          </w:tcPr>
          <w:p>
            <w:pPr>
              <w:spacing w:after="100"/>
            </w:pPr>
            <w:r>
              <w:t>You; consent and preference events.</w:t>
            </w:r>
          </w:p>
        </w:tc>
      </w:tr>
      <w:tr>
        <w:trPr>
          <w:cantSplit/>
        </w:trPr>
        <w:tc>
          <w:tcPr>
            <w:tcW w:type="dxa" w:w="1944"/>
          </w:tcPr>
          <w:p>
            <w:pPr>
              <w:spacing w:after="100"/>
            </w:pPr>
            <w:r>
              <w:t>Device and usage</w:t>
            </w:r>
          </w:p>
        </w:tc>
        <w:tc>
          <w:tcPr>
            <w:tcW w:type="dxa" w:w="5256"/>
          </w:tcPr>
          <w:p>
            <w:pPr>
              <w:spacing w:after="100"/>
            </w:pPr>
            <w:r>
              <w:t>IP address, approximate location inferred from it, device location for an enabled feature only with the applicable permission, browser/device and session information, pages and media viewed, clicks, follows, likes, shares, saved items, error and security events, and referral information.</w:t>
            </w:r>
          </w:p>
        </w:tc>
        <w:tc>
          <w:tcPr>
            <w:tcW w:type="dxa" w:w="2160"/>
          </w:tcPr>
          <w:p>
            <w:pPr>
              <w:spacing w:after="100"/>
            </w:pPr>
            <w:r>
              <w:t>Browser and device interactions; service and security logs.</w:t>
            </w:r>
          </w:p>
        </w:tc>
      </w:tr>
      <w:tr>
        <w:trPr>
          <w:cantSplit/>
        </w:trPr>
        <w:tc>
          <w:tcPr>
            <w:tcW w:type="dxa" w:w="1944"/>
          </w:tcPr>
          <w:p>
            <w:pPr>
              <w:spacing w:after="100"/>
            </w:pPr>
            <w:r>
              <w:t>Support safety and generated information</w:t>
            </w:r>
          </w:p>
        </w:tc>
        <w:tc>
          <w:tcPr>
            <w:tcW w:type="dxa" w:w="5256"/>
          </w:tcPr>
          <w:p>
            <w:pPr>
              <w:spacing w:after="100"/>
            </w:pPr>
            <w:r>
              <w:t>Questions and messages, reports, appeals, rights requests, review decisions, case records, activity scores and rankings, and available appearance descriptions such as hair-color estimates.</w:t>
            </w:r>
          </w:p>
        </w:tc>
        <w:tc>
          <w:tcPr>
            <w:tcW w:type="dxa" w:w="2160"/>
          </w:tcPr>
          <w:p>
            <w:pPr>
              <w:spacing w:after="100"/>
            </w:pPr>
            <w:r>
              <w:t>You; clubs; moderators and providers; recorded activity and automated analysis.</w:t>
            </w:r>
          </w:p>
        </w:tc>
      </w:tr>
    </w:tbl>
    <w:p>
      <w:pPr>
        <w:spacing w:after="0"/>
      </w:pPr>
    </w:p>
    <w:p>
      <w:pPr/>
      <w:r>
        <w:t>Do not send IDs, verification selfies, passwords, private medical information, or unrelated sensitive information through profile media, request notes, or ordinary support messages. Use the designated verification process for required documents. We do not request a guest’s government ID through the ordinary guest-list or ride form; the club separately checks its admission requirements.</w:t>
      </w:r>
    </w:p>
    <w:p>
      <w:pPr>
        <w:pStyle w:val="Heading1"/>
      </w:pPr>
      <w:r>
        <w:t>2 Verification and sensitive information</w:t>
      </w:r>
    </w:p>
    <w:p>
      <w:pPr/>
      <w:r>
        <w:t>UAB “Ondato” captures a dancer’s government-issued ID and live selfie, including images or video used for liveness. The process reads document information such as name, birth date, document number, issuing details, and expiry and compares the face with the ID using facial biometric processing. It can produce approval, rejection, or further review. We must provide the separate notice and obtain your affirmative consent before capture. If you decline, your dancer account cannot be activated.</w:t>
      </w:r>
    </w:p>
    <w:p>
      <w:pPr/>
      <w:r>
        <w:t>Authorized MyDancr personnel can access the records Ondato makes available for verification, related support, security, and legal needs during its retention period. That access is not public display or permission to keep independent raw copies. Our own retained verification record is limited as stated in section 6. The verification record and legal identity are not dancer profile or roster information.</w:t>
      </w:r>
    </w:p>
    <w:p>
      <w:pPr/>
      <w:r>
        <w:t>We limit verification information to eligibility, related support, security, and legal purposes. We do not sell it, use it for advertising, put it into dancer engagement scores or appearance summaries, or use it for general-purpose AI training. A content license does not authorize sensitive processing that requires separate consent. We do not use club activity or appearance tools to infer unrelated health, sexual-orientation, or other sensitive traits.</w:t>
      </w:r>
    </w:p>
    <w:p>
      <w:pPr>
        <w:pStyle w:val="Heading1"/>
      </w:pPr>
      <w:r>
        <w:t>3 How information supports the features</w:t>
      </w:r>
    </w:p>
    <w:p>
      <w:pPr/>
      <w:r>
        <w:t>We use relevant information to authenticate and administer accounts; verify dancer eligibility; operate approved profiles, clubs, affiliations, rosters, and visibility; route requests and passes; provide offers and authorized embeds; administer club subscriptions; deliver selected alerts and essential messages; answer support and privacy requests; record consent; prevent misuse; maintain and improve the service; and meet legal duties and establish or defend claims.</w:t>
      </w:r>
    </w:p>
    <w:p>
      <w:pPr/>
      <w:r>
        <w:t>We can send uploaded profile media to OpenAI for automated screening, including sampled video frames, extracted audio, and related captions or transcripts. Authorized club personnel and MyDancr reviewers review media under the applicable workflow. Approved content can stay visible while replacement material is reviewed. We do not send verification IDs or verification selfies or videos through this profile-moderation process.</w:t>
      </w:r>
    </w:p>
    <w:p>
      <w:pPr/>
      <w:r>
        <w:t>Activity scores, rankings, and comparisons use recorded public-roster time, check-in and checkout behavior, table demand, VIP selections and returning requesters, profile and offer interactions, and pass claims and redemptions for the relevant club and period. Clubs can see their operational results and individual dancer measures; dancers can see the results offered in their dashboard. Some results are based on limited samples or incomplete history. A public-visibility change does not automatically erase restricted historical operational records.</w:t>
      </w:r>
    </w:p>
    <w:p>
      <w:pPr/>
      <w:r>
        <w:t xml:space="preserve">Where appearance analytics are available, automated tools estimate visible features such as hair color in approved main photos and group activity by the photo recorded when an action occurred. Changing a photo does not necessarily change the grouping of earlier activity. Estimates and scores can be unavailable or inaccurate and are not proof of attendance, revenue, safety, qualifications, consent, or the cause of a result. Contact </w:t>
      </w:r>
      <w:hyperlink r:id="rId9">
        <w:r>
          <w:rPr>
            <w:color w:val="0000FF"/>
            <w:u w:val="single"/>
            <w:sz w:val="22"/>
            <w:szCs w:val="22"/>
            <w:rFonts w:ascii="Calibri" w:hAnsi="Calibri"/>
          </w:rPr>
          <w:t>support@mydancr.com</w:t>
        </w:r>
      </w:hyperlink>
      <w:r>
        <w:t xml:space="preserve"> for correction or review. Verification documents and facial biometric data are not inputs to these measures.</w:t>
      </w:r>
    </w:p>
    <w:p>
      <w:pPr/>
      <w:r>
        <w:t>Help tools use your question and the context you provide to return guidance. Messages to the MyDancr team are distinct from a club request or an automated help response. Do not include verification documents or credentials. We use communications records to provide support, retain the history of an issue, prevent abuse, and handle related cases.</w:t>
      </w:r>
    </w:p>
    <w:p>
      <w:pPr>
        <w:pStyle w:val="Heading1"/>
      </w:pPr>
      <w:r>
        <w:t>4 Who can receive information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800"/>
        <w:gridCol w:w="5112"/>
        <w:gridCol w:w="2448"/>
      </w:tblGrid>
      <w:tr>
        <w:trPr>
          <w:tblHeader/>
          <w:cantSplit/>
        </w:trPr>
        <w:tc>
          <w:tcPr>
            <w:tcW w:type="dxa" w:w="1800"/>
            <w:shd w:fill="EEEEEE"/>
          </w:tcPr>
          <w:p>
            <w:pPr>
              <w:spacing w:after="100"/>
            </w:pPr>
            <w:r>
              <w:rPr>
                <w:b/>
              </w:rPr>
              <w:t>Recipient</w:t>
            </w:r>
          </w:p>
        </w:tc>
        <w:tc>
          <w:tcPr>
            <w:tcW w:type="dxa" w:w="5112"/>
            <w:shd w:fill="EEEEEE"/>
          </w:tcPr>
          <w:p>
            <w:pPr>
              <w:spacing w:after="100"/>
            </w:pPr>
            <w:r>
              <w:rPr>
                <w:b/>
              </w:rPr>
              <w:t>Information and purpose</w:t>
            </w:r>
          </w:p>
        </w:tc>
        <w:tc>
          <w:tcPr>
            <w:tcW w:type="dxa" w:w="2448"/>
            <w:shd w:fill="EEEEEE"/>
          </w:tcPr>
          <w:p>
            <w:pPr>
              <w:spacing w:after="100"/>
            </w:pPr>
            <w:r>
              <w:rPr>
                <w:b/>
              </w:rPr>
              <w:t>Limits</w:t>
            </w:r>
          </w:p>
        </w:tc>
      </w:tr>
      <w:tr>
        <w:trPr>
          <w:cantSplit/>
        </w:trPr>
        <w:tc>
          <w:tcPr>
            <w:tcW w:type="dxa" w:w="1800"/>
          </w:tcPr>
          <w:p>
            <w:pPr>
              <w:spacing w:after="100"/>
            </w:pPr>
            <w:r>
              <w:t>Public audiences</w:t>
            </w:r>
          </w:p>
        </w:tc>
        <w:tc>
          <w:tcPr>
            <w:tcW w:type="dxa" w:w="5112"/>
          </w:tcPr>
          <w:p>
            <w:pPr>
              <w:spacing w:after="100"/>
            </w:pPr>
            <w:r>
              <w:t>Eligible public dancer and club information, approved media, current eligible Working Now information, and public offers; this can include MyDancr TV and authorized club website embeds.</w:t>
            </w:r>
          </w:p>
        </w:tc>
        <w:tc>
          <w:tcPr>
            <w:tcW w:type="dxa" w:w="2448"/>
          </w:tcPr>
          <w:p>
            <w:pPr>
              <w:spacing w:after="100"/>
            </w:pPr>
            <w:r>
              <w:t>Public information can be copied or indexed independently. Internal-only and Incognito limits still apply.</w:t>
            </w:r>
          </w:p>
        </w:tc>
      </w:tr>
      <w:tr>
        <w:trPr>
          <w:cantSplit/>
        </w:trPr>
        <w:tc>
          <w:tcPr>
            <w:tcW w:type="dxa" w:w="1800"/>
          </w:tcPr>
          <w:p>
            <w:pPr>
              <w:spacing w:after="100"/>
            </w:pPr>
            <w:r>
              <w:t>Selected club and its users</w:t>
            </w:r>
          </w:p>
        </w:tc>
        <w:tc>
          <w:tcPr>
            <w:tcW w:type="dxa" w:w="5112"/>
          </w:tcPr>
          <w:p>
            <w:pPr>
              <w:spacing w:after="100"/>
            </w:pPr>
            <w:r>
              <w:t>Information needed for the requested guest-list, pass, pickup, table, VIP, offer, and roster features; approved media review and relevant operational analytics.</w:t>
            </w:r>
          </w:p>
        </w:tc>
        <w:tc>
          <w:tcPr>
            <w:tcW w:type="dxa" w:w="2448"/>
          </w:tcPr>
          <w:p>
            <w:pPr>
              <w:spacing w:after="100"/>
            </w:pPr>
            <w:r>
              <w:t>Role limits apply. Table requests are available to authorized staff with the table label and status. VIP identifying records are restricted as explained below.</w:t>
            </w:r>
          </w:p>
        </w:tc>
      </w:tr>
      <w:tr>
        <w:trPr>
          <w:cantSplit/>
        </w:trPr>
        <w:tc>
          <w:tcPr>
            <w:tcW w:type="dxa" w:w="1800"/>
          </w:tcPr>
          <w:p>
            <w:pPr>
              <w:spacing w:after="100"/>
            </w:pPr>
            <w:r>
              <w:t>Selected dancers</w:t>
            </w:r>
          </w:p>
        </w:tc>
        <w:tc>
          <w:tcPr>
            <w:tcW w:type="dxa" w:w="5112"/>
          </w:tcPr>
          <w:p>
            <w:pPr>
              <w:spacing w:after="100"/>
            </w:pPr>
            <w:r>
              <w:t>Their own operational information and the anonymous VIP visit details available for requests involving them.</w:t>
            </w:r>
          </w:p>
        </w:tc>
        <w:tc>
          <w:tcPr>
            <w:tcW w:type="dxa" w:w="2448"/>
          </w:tcPr>
          <w:p>
            <w:pPr>
              <w:spacing w:after="100"/>
            </w:pPr>
            <w:r>
              <w:t>VIP request details are not public profiles or private guest-to-dancer messages. A request does not require the dancer to participate.</w:t>
            </w:r>
          </w:p>
        </w:tc>
      </w:tr>
      <w:tr>
        <w:trPr>
          <w:cantSplit/>
        </w:trPr>
        <w:tc>
          <w:tcPr>
            <w:tcW w:type="dxa" w:w="1800"/>
          </w:tcPr>
          <w:p>
            <w:pPr>
              <w:spacing w:after="100"/>
            </w:pPr>
            <w:r>
              <w:t>Service providers</w:t>
            </w:r>
          </w:p>
        </w:tc>
        <w:tc>
          <w:tcPr>
            <w:tcW w:type="dxa" w:w="5112"/>
          </w:tcPr>
          <w:p>
            <w:pPr>
              <w:spacing w:after="100"/>
            </w:pPr>
            <w:r>
              <w:t>Relevant information for authentication, hosting, storage, verification, moderation, communications, analytics, payment processing, support, and security.</w:t>
            </w:r>
          </w:p>
        </w:tc>
        <w:tc>
          <w:tcPr>
            <w:tcW w:type="dxa" w:w="2448"/>
          </w:tcPr>
          <w:p>
            <w:pPr>
              <w:spacing w:after="100"/>
            </w:pPr>
            <w:r>
              <w:t>Access is limited to the function and applicable instructions and contractual restrictions. Their own independent services can have separate notices.</w:t>
            </w:r>
          </w:p>
        </w:tc>
      </w:tr>
      <w:tr>
        <w:trPr>
          <w:cantSplit/>
        </w:trPr>
        <w:tc>
          <w:tcPr>
            <w:tcW w:type="dxa" w:w="1800"/>
          </w:tcPr>
          <w:p>
            <w:pPr>
              <w:spacing w:after="100"/>
            </w:pPr>
            <w:r>
              <w:t>Legal and business recipients</w:t>
            </w:r>
          </w:p>
        </w:tc>
        <w:tc>
          <w:tcPr>
            <w:tcW w:type="dxa" w:w="5112"/>
          </w:tcPr>
          <w:p>
            <w:pPr>
              <w:spacing w:after="100"/>
            </w:pPr>
            <w:r>
              <w:t>Information needed for lawful process, safety response, rights protection, professional advice, and a proposed or completed business transfer.</w:t>
            </w:r>
          </w:p>
        </w:tc>
        <w:tc>
          <w:tcPr>
            <w:tcW w:type="dxa" w:w="2448"/>
          </w:tcPr>
          <w:p>
            <w:pPr>
              <w:spacing w:after="100"/>
            </w:pPr>
            <w:r>
              <w:t>Use and disclosure must remain lawful, appropriately limited, and subject to required confidentiality and privacy protections.</w:t>
            </w:r>
          </w:p>
        </w:tc>
      </w:tr>
    </w:tbl>
    <w:p>
      <w:pPr>
        <w:spacing w:after="0"/>
      </w:pPr>
    </w:p>
    <w:p>
      <w:pPr/>
      <w:r>
        <w:t>The owners and managers of the club that invited you can see VIP membership information, the name you supply, the club’s private nickname for you, requests, notes, and responses. You see your own requests and responses. Selected dancers can receive anonymous visit details. MyDancr personnel can access relevant information to operate, support, secure, and lawfully administer the feature. We do not make your guest identity public or disclose these VIP records to another club.</w:t>
      </w:r>
    </w:p>
    <w:p>
      <w:pPr/>
      <w:r>
        <w:t>Table requests are associated with a shared table link rather than a private individual account. Anyone using that link can see and cancel its open requests. A guest name or email is not required for the table feature, but MyDancr processes technical information about use of the link. Viewing the roster or its notice does not constitute acceptance of the User Terms or marketing permission.</w:t>
      </w:r>
    </w:p>
    <w:p>
      <w:pPr/>
      <w:r>
        <w:t>If you separately opt in to club customer-list sharing, we provide the selected club’s owners and managers the customer-list details identified in the choice, such as your name, verified account email, and optional city. A follow alone does not disclose those details. Request-related details are separately sent to fulfill the request. Withdrawal ends optional list sharing but does not automatically cancel an active visit or erase a club’s lawful independent records. Club marketing requires its own channel-specific permission.</w:t>
      </w:r>
    </w:p>
    <w:p>
      <w:pPr/>
      <w:r>
        <w:t>If you choose public visibility, eligible approved profile information and media can appear in discovery. An eligible off-shift profile can show “Not working now” without club affiliation. Internal-only content is available inside the checked-in club and to that club’s invited VIPs only while checked in. Incognito excludes public and VIP access and guest requests. Authorized club and MyDancr personnel retain the access needed for their permitted operational duties. These displays do not expose verification files or legal identity.</w:t>
      </w:r>
    </w:p>
    <w:p>
      <w:pPr>
        <w:pStyle w:val="Heading1"/>
      </w:pPr>
      <w:r>
        <w:t>5 Cookies advertising and choices</w:t>
      </w:r>
    </w:p>
    <w:p>
      <w:pPr/>
      <w:r>
        <w:t>Cookies and similar browser storage support account access, security, requested features, remembered choices, and relevant usage measurement. Server-side activity records also support the metrics described above. Browser controls can remove stored data or block technologies but can impair a requested feature. Do Not Track settings are distinct from legally recognized opt-out preference signals such as Global Privacy Control.</w:t>
      </w:r>
    </w:p>
    <w:p>
      <w:pPr/>
      <w:r>
        <w:t>We do not use personal information for sale, sharing for cross-context behavioral advertising, or targeted advertising as those terms are defined by applicable privacy law. Direct club offers and their permitted delivery are described in this policy. We do not sell or share the personal information of people we know are under 16. The service is restricted to adults.</w:t>
      </w:r>
    </w:p>
    <w:p>
      <w:pPr/>
      <w:r>
        <w:t>If we introduce advertising networks, tracking pixels, targeted advertising, or another materially different use, we will provide the required updated disclosures and choices before that use. Where applicable, we honor recognized opt-out preference signals and required sale, sharing, or targeted-advertising opt-outs. A signal applies to the browser or device, and to an identified account where required and technically applicable. A cookie preference does not by itself unsubscribe email or end optional club sharing.</w:t>
      </w:r>
    </w:p>
    <w:p>
      <w:pPr>
        <w:pStyle w:val="Heading1"/>
      </w:pPr>
      <w:r>
        <w:t>6 Retention and biometric destruction</w:t>
      </w:r>
    </w:p>
    <w:p>
      <w:pPr/>
      <w:r>
        <w:t>We keep personal information only for a reasonably necessary disclosed purpose, taking account of the feature, relationship, user choice, support and dispute needs, applicable law, and specific preservation duties. When you close an account or withdraw permission, the relevant ordinary access or display ends. We may keep restricted records where a lawful need remains.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44"/>
        <w:gridCol w:w="4608"/>
        <w:gridCol w:w="2808"/>
      </w:tblGrid>
      <w:tr>
        <w:trPr>
          <w:tblHeader/>
          <w:cantSplit/>
        </w:trPr>
        <w:tc>
          <w:tcPr>
            <w:tcW w:type="dxa" w:w="1944"/>
            <w:shd w:fill="EEEEEE"/>
          </w:tcPr>
          <w:p>
            <w:pPr>
              <w:spacing w:after="100"/>
            </w:pPr>
            <w:r>
              <w:rPr>
                <w:b/>
              </w:rPr>
              <w:t>Category</w:t>
            </w:r>
          </w:p>
        </w:tc>
        <w:tc>
          <w:tcPr>
            <w:tcW w:type="dxa" w:w="4608"/>
            <w:shd w:fill="EEEEEE"/>
          </w:tcPr>
          <w:p>
            <w:pPr>
              <w:spacing w:after="100"/>
            </w:pPr>
            <w:r>
              <w:rPr>
                <w:b/>
              </w:rPr>
              <w:t>Retention rule</w:t>
            </w:r>
          </w:p>
        </w:tc>
        <w:tc>
          <w:tcPr>
            <w:tcW w:type="dxa" w:w="2808"/>
            <w:shd w:fill="EEEEEE"/>
          </w:tcPr>
          <w:p>
            <w:pPr>
              <w:spacing w:after="100"/>
            </w:pPr>
            <w:r>
              <w:rPr>
                <w:b/>
              </w:rPr>
              <w:t>Limits</w:t>
            </w:r>
          </w:p>
        </w:tc>
      </w:tr>
      <w:tr>
        <w:trPr>
          <w:cantSplit/>
        </w:trPr>
        <w:tc>
          <w:tcPr>
            <w:tcW w:type="dxa" w:w="1944"/>
          </w:tcPr>
          <w:p>
            <w:pPr>
              <w:spacing w:after="100"/>
            </w:pPr>
            <w:r>
              <w:t>Ondato identifiable verification files</w:t>
            </w:r>
          </w:p>
        </w:tc>
        <w:tc>
          <w:tcPr>
            <w:tcW w:type="dxa" w:w="4608"/>
          </w:tcPr>
          <w:p>
            <w:pPr>
              <w:spacing w:after="100"/>
            </w:pPr>
            <w:r>
              <w:t>The configured deletion period is 30 days for ID and selfie images or video and extracted document data. Ondato has confirmed it does not retain derived facial templates or measurements or backup copies of deleted records.</w:t>
            </w:r>
          </w:p>
        </w:tc>
        <w:tc>
          <w:tcPr>
            <w:tcW w:type="dxa" w:w="2808"/>
          </w:tcPr>
          <w:p>
            <w:pPr>
              <w:spacing w:after="100"/>
            </w:pPr>
            <w:r>
              <w:t>Limited linkable transaction references, times, and statuses can remain personal information. Provider access does not authorize independent MyDancr raw copies.</w:t>
            </w:r>
          </w:p>
        </w:tc>
      </w:tr>
      <w:tr>
        <w:trPr>
          <w:cantSplit/>
        </w:trPr>
        <w:tc>
          <w:tcPr>
            <w:tcW w:type="dxa" w:w="1944"/>
          </w:tcPr>
          <w:p>
            <w:pPr>
              <w:spacing w:after="100"/>
            </w:pPr>
            <w:r>
              <w:t>MyDancr limited verification record</w:t>
            </w:r>
          </w:p>
        </w:tc>
        <w:tc>
          <w:tcPr>
            <w:tcW w:type="dxa" w:w="4608"/>
          </w:tcPr>
          <w:p>
            <w:pPr>
              <w:spacing w:after="100"/>
            </w:pPr>
            <w:r>
              <w:t>Only account reference, verification date, identity and age-18-or-older result, Ondato transaction reference, consent time, and notice version; while the account is active and no longer than 3 years after closure, deleting sooner when no longer needed or required by law.</w:t>
            </w:r>
          </w:p>
        </w:tc>
        <w:tc>
          <w:tcPr>
            <w:tcW w:type="dxa" w:w="2808"/>
          </w:tcPr>
          <w:p>
            <w:pPr>
              <w:spacing w:after="100"/>
            </w:pPr>
            <w:r>
              <w:t>No ID or selfie copy, verification video, document number, full birth date, or detailed face-match data belongs in this retained record.</w:t>
            </w:r>
          </w:p>
        </w:tc>
      </w:tr>
      <w:tr>
        <w:trPr>
          <w:cantSplit/>
        </w:trPr>
        <w:tc>
          <w:tcPr>
            <w:tcW w:type="dxa" w:w="1944"/>
          </w:tcPr>
          <w:p>
            <w:pPr>
              <w:spacing w:after="100"/>
            </w:pPr>
            <w:r>
              <w:t>Biometric identifiers and biometric information</w:t>
            </w:r>
          </w:p>
        </w:tc>
        <w:tc>
          <w:tcPr>
            <w:tcW w:type="dxa" w:w="4608"/>
          </w:tcPr>
          <w:p>
            <w:pPr>
              <w:spacing w:after="100"/>
            </w:pPr>
            <w:r>
              <w:t>Permanently destroy when the initial verification purpose is satisfied or no later than 3 years after the last interaction, whichever occurs first, and sooner where another law or the vendor setting requires.</w:t>
            </w:r>
          </w:p>
        </w:tc>
        <w:tc>
          <w:tcPr>
            <w:tcW w:type="dxa" w:w="2808"/>
          </w:tcPr>
          <w:p>
            <w:pPr>
              <w:spacing w:after="100"/>
            </w:pPr>
            <w:r>
              <w:t>The 30-day vendor setting still applies, and derived templates must not be retained. Only a legally applicable preservation exception can alter a mandatory deadline.</w:t>
            </w:r>
          </w:p>
        </w:tc>
      </w:tr>
      <w:tr>
        <w:trPr>
          <w:cantSplit/>
        </w:trPr>
        <w:tc>
          <w:tcPr>
            <w:tcW w:type="dxa" w:w="1944"/>
          </w:tcPr>
          <w:p>
            <w:pPr>
              <w:spacing w:after="100"/>
            </w:pPr>
            <w:r>
              <w:t>Accounts profiles affiliations and media</w:t>
            </w:r>
          </w:p>
        </w:tc>
        <w:tc>
          <w:tcPr>
            <w:tcW w:type="dxa" w:w="4608"/>
          </w:tcPr>
          <w:p>
            <w:pPr>
              <w:spacing w:after="100"/>
            </w:pPr>
            <w:r>
              <w:t>For the active authorized feature; on removal, withdrawal, or closure end ordinary display and keep only restricted copies reasonably needed for support, security, claims, or a specific legal duty.</w:t>
            </w:r>
          </w:p>
        </w:tc>
        <w:tc>
          <w:tcPr>
            <w:tcW w:type="dxa" w:w="2808"/>
          </w:tcPr>
          <w:p>
            <w:pPr>
              <w:spacing w:after="100"/>
            </w:pPr>
            <w:r>
              <w:t>An active account does not by itself justify keeping removed raw media or every historical event indefinitely.</w:t>
            </w:r>
          </w:p>
        </w:tc>
      </w:tr>
      <w:tr>
        <w:trPr>
          <w:cantSplit/>
        </w:trPr>
        <w:tc>
          <w:tcPr>
            <w:tcW w:type="dxa" w:w="1944"/>
          </w:tcPr>
          <w:p>
            <w:pPr>
              <w:spacing w:after="100"/>
            </w:pPr>
            <w:r>
              <w:t>Requests passes and activity measures</w:t>
            </w:r>
          </w:p>
        </w:tc>
        <w:tc>
          <w:tcPr>
            <w:tcW w:type="dxa" w:w="4608"/>
          </w:tcPr>
          <w:p>
            <w:pPr>
              <w:spacing w:after="100"/>
            </w:pPr>
            <w:r>
              <w:t>For fulfillment and the relevant operational history, then only as reasonably needed for support, security, accurate aggregated results, claims, or law.</w:t>
            </w:r>
          </w:p>
        </w:tc>
        <w:tc>
          <w:tcPr>
            <w:tcW w:type="dxa" w:w="2808"/>
          </w:tcPr>
          <w:p>
            <w:pPr>
              <w:spacing w:after="100"/>
            </w:pPr>
            <w:r>
              <w:t>Sharing withdrawal and Incognito control access; they do not necessarily erase lawful historical request or consent records.</w:t>
            </w:r>
          </w:p>
        </w:tc>
      </w:tr>
      <w:tr>
        <w:trPr>
          <w:cantSplit/>
        </w:trPr>
        <w:tc>
          <w:tcPr>
            <w:tcW w:type="dxa" w:w="1944"/>
          </w:tcPr>
          <w:p>
            <w:pPr>
              <w:spacing w:after="100"/>
            </w:pPr>
            <w:r>
              <w:t>Orders billing acceptance and consent</w:t>
            </w:r>
          </w:p>
        </w:tc>
        <w:tc>
          <w:tcPr>
            <w:tcW w:type="dxa" w:w="4608"/>
          </w:tcPr>
          <w:p>
            <w:pPr>
              <w:spacing w:after="100"/>
            </w:pPr>
            <w:r>
              <w:t>For the relationship and the reasonably necessary accounting, evidence, security, limitation, and legal periods; suppression records for as long as needed to honor an opt-out.</w:t>
            </w:r>
          </w:p>
        </w:tc>
        <w:tc>
          <w:tcPr>
            <w:tcW w:type="dxa" w:w="2808"/>
          </w:tcPr>
          <w:p>
            <w:pPr>
              <w:spacing w:after="100"/>
            </w:pPr>
            <w:r>
              <w:t>A separate consent record can contain only the account reference, notice or wording version, affirmative action, and time. It excludes verification files, biometric information, verification outcomes, and vendor transaction references, and does not extend the verification or biometric periods above.</w:t>
            </w:r>
          </w:p>
        </w:tc>
      </w:tr>
      <w:tr>
        <w:trPr>
          <w:cantSplit/>
        </w:trPr>
        <w:tc>
          <w:tcPr>
            <w:tcW w:type="dxa" w:w="1944"/>
          </w:tcPr>
          <w:p>
            <w:pPr>
              <w:spacing w:after="100"/>
            </w:pPr>
            <w:r>
              <w:t>Support safety rights and security records</w:t>
            </w:r>
          </w:p>
        </w:tc>
        <w:tc>
          <w:tcPr>
            <w:tcW w:type="dxa" w:w="4608"/>
          </w:tcPr>
          <w:p>
            <w:pPr>
              <w:spacing w:after="100"/>
            </w:pPr>
            <w:r>
              <w:t>For resolving the matter and a proportionate restricted evidence period; a specific preservation duty or lawful hold controls where applicable.</w:t>
            </w:r>
          </w:p>
        </w:tc>
        <w:tc>
          <w:tcPr>
            <w:tcW w:type="dxa" w:w="2808"/>
          </w:tcPr>
          <w:p>
            <w:pPr>
              <w:spacing w:after="100"/>
            </w:pPr>
            <w:r>
              <w:t>Access is restricted. A hold must be documented and released when its legal basis ends.</w:t>
            </w:r>
          </w:p>
        </w:tc>
      </w:tr>
    </w:tbl>
    <w:p>
      <w:pPr>
        <w:spacing w:after="0"/>
      </w:pPr>
    </w:p>
    <w:p>
      <w:pPr/>
      <w:r>
        <w:t>The biometric destruction rule is also stated in the Dancer Verification and Biometric Privacy Notice. Where Texas or another law requires earlier destruction, the earlier rule applies. Ordinary backup retention does not authorize restoration to active use after deletion; any remaining backup copies must be protected and removed through the applicable deletion cycle. Ondato’s specific no-backup confirmation is separate from other application systems.</w:t>
      </w:r>
    </w:p>
    <w:p>
      <w:pPr>
        <w:pStyle w:val="Heading1"/>
      </w:pPr>
      <w:r>
        <w:t>7 Email texts and notification controls</w:t>
      </w:r>
    </w:p>
    <w:p>
      <w:pPr/>
      <w:r>
        <w:t>Guest signup offers separate, initially unchecked choices for emails about followed dancers and clubs and for MyDancr offers and newsletters. A follow adds available in-app alerts; it does not independently supply email permission or disclose contact details to a club. Eligible club offers can appear in Alerts, and optional offer emails can combine them into a daily summary. VIP service messages about requests and confirmed visits are distinct from marketing.</w:t>
      </w:r>
    </w:p>
    <w:p>
      <w:pPr/>
      <w:r>
        <w:t>Guest forms separately identify information sent for a request and any optional club marketing email or text permission. Neither marketing choice is required for entry or a ride. Accepting terms, creating an account, submitting a request, accessing a table, or opting into customer-list sharing does not itself subscribe you to marketing.</w:t>
      </w:r>
    </w:p>
    <w:p>
      <w:pPr/>
      <w:r>
        <w:t xml:space="preserve">Use your dashboard, an email unsubscribe link, the private preference link supplied with a guest confirmation, or </w:t>
      </w:r>
      <w:hyperlink r:id="rId9">
        <w:r>
          <w:rPr>
            <w:color w:val="0000FF"/>
            <w:u w:val="single"/>
            <w:sz w:val="22"/>
            <w:szCs w:val="22"/>
            <w:rFonts w:ascii="Calibri" w:hAnsi="Calibri"/>
          </w:rPr>
          <w:t>support@mydancr.com</w:t>
        </w:r>
      </w:hyperlink>
      <w:r>
        <w:t xml:space="preserve"> to change the relevant choice. No new account or login is required to stop guest-form marketing. If promotional texts are separately offered through a properly disclosed opt-in, use STOP or the stated withdrawal method. Email permission is not text permission. Contact the club about its independently maintained records or separate campaigns.</w:t>
      </w:r>
    </w:p>
    <w:p>
      <w:pPr/>
      <w:r>
        <w:t>Unsubscribing does not cancel an existing request or prevent necessary nonpromotional account, security, legal, or service messages. In-app, email, and browser push controls are separate. Device permission is not marketing consent. Muting an inbox alert does not necessarily delete the underlying event.</w:t>
      </w:r>
    </w:p>
    <w:p>
      <w:pPr>
        <w:pStyle w:val="Heading1"/>
      </w:pPr>
      <w:r>
        <w:t>8 Privacy rights and requests</w:t>
      </w:r>
    </w:p>
    <w:p>
      <w:pPr/>
      <w:r>
        <w:t>Where applicable law gives you these rights, you can request confirmation, access and information about our practices, correction, deletion, a portable copy, and information about relevant third-party recipients. You can also have rights to opt out of sale, sharing, targeted advertising, or covered profiling; limit specified sensitive uses; withdraw consent; or seek explanation or review of a covered automated decision. Rights concerning automated decisions depend on how a score is used and the law that applies.</w:t>
      </w:r>
    </w:p>
    <w:p>
      <w:pPr/>
      <w:r>
        <w:t xml:space="preserve">Email </w:t>
      </w:r>
      <w:hyperlink r:id="rId9">
        <w:r>
          <w:rPr>
            <w:color w:val="0000FF"/>
            <w:u w:val="single"/>
            <w:sz w:val="22"/>
            <w:szCs w:val="22"/>
            <w:rFonts w:ascii="Calibri" w:hAnsi="Calibri"/>
          </w:rPr>
          <w:t>support@mydancr.com</w:t>
        </w:r>
      </w:hyperlink>
      <w:r>
        <w:t xml:space="preserve"> with the requested action and enough information to locate the record, or write to MyDancr LLC, 30 N Gould St STE R, Sheridan, WY 82801. Available account controls also let you update information or request closure. We respond in the period required by applicable law. We verify identity proportionately when required, accept authorized agents where permitted, and do not require an account merely to make a request. We do not require identity verification for a California sale/sharing opt-out or sensitive-use limitation request.</w:t>
      </w:r>
    </w:p>
    <w:p>
      <w:pPr/>
      <w:r>
        <w:t>We may retain or withhold information under a specific applicable exception, such as another person’s rights, security, or a legal obligation, and will explain a denial to the extent required and lawful. We use extra verification information only for the request and related security and required records, then delete it when no longer needed.</w:t>
      </w:r>
    </w:p>
    <w:p>
      <w:pPr/>
      <w:r>
        <w:t xml:space="preserve">To appeal a denial where an appeal right applies, reply to our decision or email </w:t>
      </w:r>
      <w:hyperlink r:id="rId9">
        <w:r>
          <w:rPr>
            <w:color w:val="0000FF"/>
            <w:u w:val="single"/>
            <w:sz w:val="22"/>
            <w:szCs w:val="22"/>
            <w:rFonts w:ascii="Calibri" w:hAnsi="Calibri"/>
          </w:rPr>
          <w:t>support@mydancr.com</w:t>
        </w:r>
      </w:hyperlink>
      <w:r>
        <w:t xml:space="preserve"> with “Privacy appeal” and the request reference. We will review and respond with the reasons and any required regulator-complaint information in the applicable period. You can contact the authority responsible for privacy enforcement in your jurisdiction. We do not unlawfully discriminate or retaliate for exercising a privacy right.</w:t>
      </w:r>
    </w:p>
    <w:p>
      <w:pPr/>
      <w:r>
        <w:t xml:space="preserve">California residents should read the separate California notice. Nevada consumers may submit a verified request not to sell covered information to </w:t>
      </w:r>
      <w:hyperlink r:id="rId9">
        <w:r>
          <w:rPr>
            <w:color w:val="0000FF"/>
            <w:u w:val="single"/>
            <w:sz w:val="22"/>
            <w:szCs w:val="22"/>
            <w:rFonts w:ascii="Calibri" w:hAnsi="Calibri"/>
          </w:rPr>
          <w:t>support@mydancr.com</w:t>
        </w:r>
      </w:hyperlink>
      <w:r>
        <w:t xml:space="preserve">; we respond no later than 60 days after receipt, with notice of a reasonably necessary extension of up to 30 days. We do not currently sell covered information as Nevada law defines sale. California direct-marketing disclosure requests may also be sent to </w:t>
      </w:r>
      <w:hyperlink r:id="rId9">
        <w:r>
          <w:rPr>
            <w:color w:val="0000FF"/>
            <w:u w:val="single"/>
            <w:sz w:val="22"/>
            <w:szCs w:val="22"/>
            <w:rFonts w:ascii="Calibri" w:hAnsi="Calibri"/>
          </w:rPr>
          <w:t>support@mydancr.com</w:t>
        </w:r>
      </w:hyperlink>
      <w:r>
        <w:t>.</w:t>
      </w:r>
    </w:p>
    <w:p>
      <w:pPr>
        <w:pStyle w:val="Heading1"/>
      </w:pPr>
      <w:r>
        <w:t>9 Security locations and children</w:t>
      </w:r>
    </w:p>
    <w:p>
      <w:pPr/>
      <w:r>
        <w:t>We use technical and organizational safeguards appropriate to the information and risks. No system, storage method, or transmission is completely secure. Protect your credentials and report suspected compromise. The service is operated from the United States; relevant providers, including Ondato, can process information in other countries. We use the contractual and other safeguards required for a covered transfer. Independent linked services and clubs have their own privacy responsibilities.</w:t>
      </w:r>
    </w:p>
    <w:p>
      <w:pPr/>
      <w:r>
        <w:t xml:space="preserve">MyDancr is for adults at least 18 and is not directed to children. A verification attempt can process information submitted by an underage person to determine ineligibility. On learning that an account belongs to someone under 18, we block access and remove the profile and delete information as law requires, subject to limited lawful security or preservation needs. A minor, parent, or guardian can report an account or request required removal at </w:t>
      </w:r>
      <w:hyperlink r:id="rId9">
        <w:r>
          <w:rPr>
            <w:color w:val="0000FF"/>
            <w:u w:val="single"/>
            <w:sz w:val="22"/>
            <w:szCs w:val="22"/>
            <w:rFonts w:ascii="Calibri" w:hAnsi="Calibri"/>
          </w:rPr>
          <w:t>support@mydancr.com</w:t>
        </w:r>
      </w:hyperlink>
      <w:r>
        <w:t>.</w:t>
      </w:r>
    </w:p>
    <w:p>
      <w:pPr>
        <w:pStyle w:val="Heading1"/>
      </w:pPr>
      <w:r>
        <w:t>10 Updates and contact</w:t>
      </w:r>
    </w:p>
    <w:p>
      <w:pPr/>
      <w:r>
        <w:t xml:space="preserve">We will identify updates by the effective date and provide notice of a material change as law requires. We will obtain new consent before a new use that requires it. An update does not retroactively authorize unrelated use of information. Request this policy in an accessible format or contact us at </w:t>
      </w:r>
      <w:hyperlink r:id="rId9">
        <w:r>
          <w:rPr>
            <w:color w:val="0000FF"/>
            <w:u w:val="single"/>
            <w:sz w:val="22"/>
            <w:szCs w:val="22"/>
            <w:rFonts w:ascii="Calibri" w:hAnsi="Calibri"/>
          </w:rPr>
          <w:t>support@mydancr.com</w:t>
        </w:r>
      </w:hyperlink>
      <w:r>
        <w:t xml:space="preserve"> or MyDancr LLC, 30 N Gould St STE R, Sheridan, WY 82801.</w:t>
      </w:r>
    </w:p>
    <w:sectPr>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mailto:support@mydancr.com" TargetMode="External"/><Relationship Id="rId10" Type="http://schemas.openxmlformats.org/officeDocument/2006/relationships/hyperlink" Target="https://mydancr.com/privacy/california" TargetMode="External"/><Relationship Id="rId11" Type="http://schemas.openxmlformats.org/officeDocument/2006/relationships/hyperlink" Target="https://www.mydancr.com/lega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