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MyDancr User Terms</w:t>
      </w:r>
    </w:p>
    <w:p>
      <w:pPr/>
      <w:r>
        <w:t>Last updated: October 30, 2026</w:t>
      </w:r>
    </w:p>
    <w:p>
      <w:pPr/>
      <w:r>
        <w:t>MyDancr LLC, a Wyoming limited liability company (“</w:t>
      </w:r>
      <w:r>
        <w:rPr>
          <w:b/>
        </w:rPr>
        <w:t>MyDancr</w:t>
      </w:r>
      <w:r>
        <w:t>,” “</w:t>
      </w:r>
      <w:r>
        <w:rPr>
          <w:b/>
        </w:rPr>
        <w:t>we</w:t>
      </w:r>
      <w:r>
        <w:t>,” or “</w:t>
      </w:r>
      <w:r>
        <w:rPr>
          <w:b/>
        </w:rPr>
        <w:t>us</w:t>
      </w:r>
      <w:r>
        <w:t>”), provides online discovery, promotional profiles, club tools, and related request and notification features. These terms apply to your use of the features for which you accept them. You must be at least 18 and legally able to enter into this contract.</w:t>
      </w:r>
    </w:p>
    <w:p>
      <w:pPr>
        <w:pStyle w:val="Heading1"/>
      </w:pPr>
      <w:r>
        <w:t>1 Acceptance and related documents</w:t>
      </w:r>
    </w:p>
    <w:p>
      <w:pPr/>
      <w:r>
        <w:t xml:space="preserve">Guest registration requires an affirmative acceptance box linked to these terms. VIP activation requires acceptance of these terms and the VIP &amp; Table Access Terms. Dancers separately accept the </w:t>
      </w:r>
      <w:hyperlink r:id="rId9">
        <w:r>
          <w:rPr>
            <w:color w:val="0000FF"/>
            <w:u w:val="single"/>
            <w:sz w:val="22"/>
            <w:szCs w:val="22"/>
            <w:rFonts w:ascii="Calibri" w:hAnsi="Calibri"/>
          </w:rPr>
          <w:t>Dancer Agreement</w:t>
        </w:r>
      </w:hyperlink>
      <w:r>
        <w:t xml:space="preserve">. Clubs separately approve the </w:t>
      </w:r>
      <w:hyperlink r:id="rId10">
        <w:r>
          <w:rPr>
            <w:color w:val="0000FF"/>
            <w:u w:val="single"/>
            <w:sz w:val="22"/>
            <w:szCs w:val="22"/>
            <w:rFonts w:ascii="Calibri" w:hAnsi="Calibri"/>
          </w:rPr>
          <w:t>Club Agreement</w:t>
        </w:r>
      </w:hyperlink>
      <w:r>
        <w:t xml:space="preserve"> and their Order. The documents available through the </w:t>
      </w:r>
      <w:hyperlink r:id="rId11">
        <w:r>
          <w:rPr>
            <w:color w:val="0000FF"/>
            <w:u w:val="single"/>
            <w:sz w:val="22"/>
            <w:szCs w:val="22"/>
            <w:rFonts w:ascii="Calibri" w:hAnsi="Calibri"/>
          </w:rPr>
          <w:t>legal index</w:t>
        </w:r>
      </w:hyperlink>
      <w:r>
        <w:t xml:space="preserve"> identify the terms for each relationship. Merely browsing, opening a table link, or viewing a notice does not establish affirmative acceptance.</w:t>
      </w:r>
    </w:p>
    <w:p>
      <w:pPr/>
      <w:r>
        <w:t>You can accept these terms for a guest-list, ride, or table request without creating an account. To submit a request, you must affirmatively accept these terms and, for a table request, the VIP &amp; Table Access Terms through the linked acceptance box. Your affirmative acceptance applies to your use of that request feature. A table label or shared session does not establish another person’s acceptance. MyDancr records the accepted document versions, wording, action, time, and request or session reference.</w:t>
      </w:r>
    </w:p>
    <w:p>
      <w:pPr/>
      <w:r>
        <w:t xml:space="preserve">A separately accepted Club Agreement and Order govern the club subscription and control conflicts about that relationship. The Dancer Agreement controls conflicts about dancer eligibility, media, visibility, licensing, and dancer-account disputes. VIP &amp; Table Access Terms control conflicts about those features. These terms otherwise govern your account and any request feature for which you accept them. The </w:t>
      </w:r>
      <w:hyperlink r:id="rId12">
        <w:r>
          <w:rPr>
            <w:color w:val="0000FF"/>
            <w:u w:val="single"/>
            <w:sz w:val="22"/>
            <w:szCs w:val="22"/>
            <w:rFonts w:ascii="Calibri" w:hAnsi="Calibri"/>
          </w:rPr>
          <w:t>Privacy Policy</w:t>
        </w:r>
      </w:hyperlink>
      <w:r>
        <w:t xml:space="preserve"> explains information handling; acceptance of a contract does not replace separately required privacy or marketing consent.</w:t>
      </w:r>
    </w:p>
    <w:p>
      <w:pPr>
        <w:pStyle w:val="Heading1"/>
      </w:pPr>
      <w:r>
        <w:t>2 What MyDancr provides</w:t>
      </w:r>
    </w:p>
    <w:p>
      <w:pPr/>
      <w:r>
        <w:t>Available features include dancer and club discovery, approved photos and short videos, MyDancr TV, club website embeds, follows and saved items, guest lists and admission passes, ride-request routing, table requests, and invitation-based VIP access. Features depend on location, account role, club setup, and eligibility. Not all features are available at every club.</w:t>
      </w:r>
    </w:p>
    <w:p>
      <w:pPr/>
      <w:r>
        <w:t>MyDancr provides software and communications tools. Clubs operate their businesses and control their admissions, offers, personnel, transport arrangements, and services. MyDancr does not employ or book dancers, arrange unlawful services, collect payment for dancer services, or guarantee admission, attendance, availability, safety, or a particular result. Your arrangements with a club or dancer are separate.</w:t>
      </w:r>
    </w:p>
    <w:p>
      <w:pPr>
        <w:pStyle w:val="Heading1"/>
      </w:pPr>
      <w:r>
        <w:t>3 Accounts and authorized access</w:t>
      </w:r>
    </w:p>
    <w:p>
      <w:pPr/>
      <w:r>
        <w:t>Provide accurate information, confirm your email when required, protect your credentials, and promptly report suspected compromise. You must use only your account and the access authorized for it. Club representatives must have authority for the actions they take. A staff login or invitation does not itself authorize a paid subscription, bind a dancer, or establish authority to change another person’s settings.</w:t>
      </w:r>
    </w:p>
    <w:p>
      <w:pPr/>
      <w:r>
        <w:t>Guest accounts are free and provide available follows, saved items, and alert choices. Guest activity and follow lists are not public profiles. Dancer, club, staff, and VIP features require their respective approvals. Do not share private invitations, access codes, table links, or roster information beyond the use the club authorizes.</w:t>
      </w:r>
    </w:p>
    <w:p>
      <w:pPr>
        <w:pStyle w:val="Heading1"/>
      </w:pPr>
      <w:r>
        <w:t>4 Profiles and visibility</w:t>
      </w:r>
    </w:p>
    <w:p>
      <w:pPr/>
      <w:r>
        <w:t>Working Now records a time-limited club check-in; it does not establish continuous presence, licensing, employment, or willingness to meet a guest. An eligible public off-shift profile may display “Not working now” without current or past club affiliation. Club affiliation appears publicly only during an eligible check-in and according to the dancer’s visibility choice.</w:t>
      </w:r>
    </w:p>
    <w:p>
      <w:pPr/>
      <w:r>
        <w:t>Internal-only visibility permits access inside the checked-in club and by that club’s invited VIPs only while the dancer is checked in there. Another club’s invitation grants no access. Incognito excludes public and VIP viewing and guest requests. Authorized MyDancr and club personnel retain the operational access described in the Privacy Policy. Public embeds and MyDancr TV must respect the same public-visibility limits.</w:t>
      </w:r>
    </w:p>
    <w:p>
      <w:pPr>
        <w:pStyle w:val="Heading1"/>
      </w:pPr>
      <w:r>
        <w:t>5 Requests admission and transport</w:t>
      </w:r>
    </w:p>
    <w:p>
      <w:pPr/>
      <w:r>
        <w:t>Table and VIP requests are routed to the club. Sending one does not create a booking or require a dancer to participate. “</w:t>
      </w:r>
      <w:r>
        <w:rPr>
          <w:b/>
        </w:rPr>
        <w:t>Seen</w:t>
      </w:r>
      <w:r>
        <w:t>” means staff acknowledged a table request. Club confirmation remains subject to availability and the dancer’s voluntary agreement. Contact the club about arrangements, prices, changes, and urgent matters. Statuses and alerts can be delayed or inaccurate.</w:t>
      </w:r>
    </w:p>
    <w:p>
      <w:pPr/>
      <w:r>
        <w:t>People using the same table link can see and cancel that table’s open requests. Table access does not require an account or a named individual. Do not put sensitive information into request notes or assume a shared link creates a private conversation. The VIP &amp; Table Access Terms explain who can see your VIP information.</w:t>
      </w:r>
    </w:p>
    <w:p>
      <w:pPr/>
      <w:r>
        <w:t>An admission pass is subject to its displayed terms, validity, arrival method, redemption rules, and the club’s lawful age, identification, capacity, dress, and house requirements. Club staff scan the patron’s QR pass. A guest-list entry does not itself promise free entry or admission. The club is responsible for its offers and valid redemptions.</w:t>
      </w:r>
    </w:p>
    <w:p>
      <w:pPr/>
      <w:r>
        <w:t>MyDancr forwards pickup details to the selected club. A ride is confirmed only after the club accepts and contacts you. The club or its transport provider supplies and dispatches the driver and vehicle and is responsible for the transport. MyDancr does not operate a transport service. Use an appropriate emergency service in an emergency; request tools are not emergency channels.</w:t>
      </w:r>
    </w:p>
    <w:p>
      <w:pPr>
        <w:pStyle w:val="Heading1"/>
      </w:pPr>
      <w:r>
        <w:t>6 Content and permitted use</w:t>
      </w:r>
    </w:p>
    <w:p>
      <w:pPr/>
      <w:r>
        <w:t>Use MyDancr only for lawful discovery, promotion, and authorized club functions. You must not use it for exploitation, trafficking, prostitution, unlawful sexual services, harassment, threats, discrimination, impersonation, fraud, or invasion of privacy. Do not request or post content involving minors, nonconsensual intimate imagery, nudity, actual or simulated sexual acts, or lascivious exhibition of the anus, genitals, or pubic area.</w:t>
      </w:r>
    </w:p>
    <w:p>
      <w:pPr/>
      <w:r>
        <w:t>Do not submit another person’s identity documents or media. Dancer uploads must comply with the Dancer Agreement, show only the submitting adult dancer, and include only media and music the dancer has permission to use. Do not upload private records through profile fields, request notes, or ordinary support messages.</w:t>
      </w:r>
    </w:p>
    <w:p>
      <w:pPr/>
      <w:r>
        <w:t>Do not scrape, crawl, harvest, bulk download, reidentify private users, bypass access or visibility restrictions, defeat moderation, introduce malware, misuse tags or QR passes, interfere with the service, or use accounts or content for unauthorized model training. Do not copy or rehost media, remove attribution or controls, or frame the service except through an authorized embed. Ordinary sharing through an available sharing tool remains subject to the recipient’s access rights.</w:t>
      </w:r>
    </w:p>
    <w:p>
      <w:pPr>
        <w:pStyle w:val="Heading1"/>
      </w:pPr>
      <w:r>
        <w:t>7 Ownership and submissions</w:t>
      </w:r>
    </w:p>
    <w:p>
      <w:pPr/>
      <w:r>
        <w:t>MyDancr and its licensors retain their software, branding, and service materials. MyDancr gives you a limited, revocable, nontransferable permission to use the available features for their intended purpose, subject to these terms and applicable separate agreements. No ownership in the software or another user’s content transfers to you.</w:t>
      </w:r>
    </w:p>
    <w:p>
      <w:pPr/>
      <w:r>
        <w:t>For request text, business information, or other material you submit outside dancer media, you grant MyDancr a nonexclusive license to host, format, transmit, and display it only as needed to provide the requested feature, maintain security, provide support, and comply with law. You must have the rights required for those uses. The license does not authorize unrelated advertising, general-purpose AI training, or public disclosure of private request information. It ends when the material is deleted except for restricted retention and processing described in the Privacy Policy. Dancer media and club branding have their separate licenses.</w:t>
      </w:r>
    </w:p>
    <w:p>
      <w:pPr>
        <w:pStyle w:val="Heading1"/>
      </w:pPr>
      <w:r>
        <w:t>8 Moderation scores and support</w:t>
      </w:r>
    </w:p>
    <w:p>
      <w:pPr/>
      <w:r>
        <w:t>Dancer media must receive club approval and pass MyDancr moderation before publication. MyDancr may review activity, use automated screening, restrict material, and investigate reasonably suspected misuse. It may reject club-approved material. Approval does not guarantee safety, rights clearance, accuracy, or legality. MyDancr does not promise continuous review of every other interaction.</w:t>
      </w:r>
    </w:p>
    <w:p>
      <w:pPr/>
      <w:r>
        <w:t xml:space="preserve">Available activity measures and rankings can use check-in and roster time, requests, customer interactions, and pass activity. Appearance summaries describe visible features such as hair color where that function is available. These outputs can be incomplete or wrong and do not verify identity, age, consent, availability, suitability, attendance, or revenue. The Privacy Policy describes their inputs and recipients. Ask </w:t>
      </w:r>
      <w:hyperlink r:id="rId13">
        <w:r>
          <w:rPr>
            <w:color w:val="0000FF"/>
            <w:u w:val="single"/>
            <w:sz w:val="22"/>
            <w:szCs w:val="22"/>
            <w:rFonts w:ascii="Calibri" w:hAnsi="Calibri"/>
          </w:rPr>
          <w:t>support@mydancr.com</w:t>
        </w:r>
      </w:hyperlink>
      <w:r>
        <w:t xml:space="preserve"> for correction or review. Automated help does not replace a club’s confirmation or a response from MyDancr staff.</w:t>
      </w:r>
    </w:p>
    <w:p>
      <w:pPr>
        <w:pStyle w:val="Heading1"/>
      </w:pPr>
      <w:r>
        <w:t>9 Reporting and enforcement</w:t>
      </w:r>
    </w:p>
    <w:p>
      <w:pPr/>
      <w:r>
        <w:t xml:space="preserve">Use the report control or </w:t>
      </w:r>
      <w:hyperlink r:id="rId13">
        <w:r>
          <w:rPr>
            <w:color w:val="0000FF"/>
            <w:u w:val="single"/>
            <w:sz w:val="22"/>
            <w:szCs w:val="22"/>
            <w:rFonts w:ascii="Calibri" w:hAnsi="Calibri"/>
          </w:rPr>
          <w:t>support@mydancr.com</w:t>
        </w:r>
      </w:hyperlink>
      <w:r>
        <w:t xml:space="preserve"> for safety concerns. The Report Harmful Content notice in the </w:t>
      </w:r>
      <w:hyperlink r:id="rId11">
        <w:r>
          <w:rPr>
            <w:color w:val="0000FF"/>
            <w:u w:val="single"/>
            <w:sz w:val="22"/>
            <w:szCs w:val="22"/>
            <w:rFonts w:ascii="Calibri" w:hAnsi="Calibri"/>
          </w:rPr>
          <w:t>legal index</w:t>
        </w:r>
      </w:hyperlink>
      <w:r>
        <w:t xml:space="preserve"> explains the intimate-image removal process, including access for nonusers. Copyright notices and counter-notices follow the </w:t>
      </w:r>
      <w:hyperlink r:id="rId14">
        <w:r>
          <w:rPr>
            <w:color w:val="0000FF"/>
            <w:u w:val="single"/>
            <w:sz w:val="22"/>
            <w:szCs w:val="22"/>
            <w:rFonts w:ascii="Calibri" w:hAnsi="Calibri"/>
          </w:rPr>
          <w:t>DMCA Policy</w:t>
        </w:r>
      </w:hyperlink>
      <w:r>
        <w:t>. MyDancr applies a repeat-infringer policy in appropriate circumstances. A copyright counter-notice does not override an independent safety restriction.</w:t>
      </w:r>
    </w:p>
    <w:p>
      <w:pPr/>
      <w:r>
        <w:t xml:space="preserve">MyDancr may restrict access or content to investigate a suspected breach, unlawful activity, unauthorized access, or safety or security concern. It may terminate access for those reasons or another legitimate operational reason, subject to a controlling separate agreement. It will provide notice and a reasonable explanation when practical; disclosure may be withheld where prohibited or where it would compromise safety, security, or an investigation. Request review at </w:t>
      </w:r>
      <w:hyperlink r:id="rId13">
        <w:r>
          <w:rPr>
            <w:color w:val="0000FF"/>
            <w:u w:val="single"/>
            <w:sz w:val="22"/>
            <w:szCs w:val="22"/>
            <w:rFonts w:ascii="Calibri" w:hAnsi="Calibri"/>
          </w:rPr>
          <w:t>support@mydancr.com</w:t>
        </w:r>
      </w:hyperlink>
      <w:r>
        <w:t>.</w:t>
      </w:r>
    </w:p>
    <w:p>
      <w:pPr>
        <w:pStyle w:val="Heading1"/>
      </w:pPr>
      <w:r>
        <w:t>10 Communications and third parties</w:t>
      </w:r>
    </w:p>
    <w:p>
      <w:pPr/>
      <w:r>
        <w:t>Account, security, legal, verification, and requested-service messages are distinct from optional alerts and marketing. Follow emails and offers/newsletters have separate choices. Following a club, submitting a request, or accepting terms does not itself subscribe you to marketing. Device push permission and club customer-list sharing are separate choices. See the Privacy Policy for controls and withdrawal methods.</w:t>
      </w:r>
    </w:p>
    <w:p>
      <w:pPr/>
      <w:r>
        <w:t>Links, independent club services, and third-party tools have their own terms and privacy practices. An advertisement or link does not establish MyDancr’s endorsement or responsibility for the independent service. MyDancr must disclose any new use of personal information associated with direct advertising or a new integration as required by law.</w:t>
      </w:r>
    </w:p>
    <w:p>
      <w:pPr>
        <w:pStyle w:val="Heading1"/>
      </w:pPr>
      <w:r>
        <w:t>11 Changes and account closure</w:t>
      </w:r>
    </w:p>
    <w:p>
      <w:pPr/>
      <w:r>
        <w:t>MyDancr may change or discontinue features. When practical, it will give reasonable notice of a change that substantially reduces an existing feature. Urgent legal, safety, security, or operational concerns can require earlier action. A general service change does not amend a signed Club Agreement or its payment and refund rights.</w:t>
      </w:r>
    </w:p>
    <w:p>
      <w:pPr/>
      <w:r>
        <w:t>MyDancr may revise these terms prospectively. It will identify the new version and notify affected account holders of material changes, obtaining affirmative acceptance before applying those changes to continued use. Posting alone does not establish acceptance, and revisions do not change an existing dispute retroactively. You may decline and stop using the affected features.</w:t>
      </w:r>
    </w:p>
    <w:p>
      <w:pPr/>
      <w:r>
        <w:t xml:space="preserve">You may stop using MyDancr or request closure through available controls or </w:t>
      </w:r>
      <w:hyperlink r:id="rId13">
        <w:r>
          <w:rPr>
            <w:color w:val="0000FF"/>
            <w:u w:val="single"/>
            <w:sz w:val="22"/>
            <w:szCs w:val="22"/>
            <w:rFonts w:ascii="Calibri" w:hAnsi="Calibri"/>
          </w:rPr>
          <w:t>support@mydancr.com</w:t>
        </w:r>
      </w:hyperlink>
      <w:r>
        <w:t>. Ordinary account access and display end on closure, subject to the separate agreements and restricted retention described in the Privacy Policy. Closing a login does not itself cancel a club subscription, erase accrued claims, or extend a content license or biometric destruction deadline.</w:t>
      </w:r>
    </w:p>
    <w:p>
      <w:pPr>
        <w:pStyle w:val="Heading1"/>
      </w:pPr>
      <w:r>
        <w:t>12 Disclaimers and liability</w:t>
      </w:r>
    </w:p>
    <w:p>
      <w:pPr/>
      <w:r>
        <w:t>MyDancr provides the available service without a promise of uninterrupted operation, error-free information, a particular commercial result, or an independent participant’s conduct. To the extent permitted by law, MyDancr disclaims implied warranties of merchantability, fitness for a particular purpose, and noninfringement. These provisions do not eliminate an express obligation or a protection that applicable law does not allow to be excluded.</w:t>
      </w:r>
    </w:p>
    <w:p>
      <w:pPr/>
      <w:r>
        <w:t>To the extent permitted by law, MyDancr and its suppliers are not liable for lost profits, lost business opportunities, loss of goodwill, losses resulting indirectly from inability to use the service, or punitive damages. Their total liability to you arising from these terms or your use of the service is limited to the greater of $100 and the amount you paid MyDancr for that use during the 12 months before the event giving rise to the claim. A separate agreement governs liability allocated to that relationship.</w:t>
      </w:r>
    </w:p>
    <w:p>
      <w:pPr/>
      <w:r>
        <w:t>The exclusions and cap do not apply to fraud, willful misconduct, gross negligence, death or personal injury caused by negligence, or another liability or remedy that cannot lawfully be limited. Statutory privacy, consumer, and public injunctive rights remain available to the extent nonwaivable.</w:t>
      </w:r>
    </w:p>
    <w:p>
      <w:pPr>
        <w:pStyle w:val="Heading1"/>
      </w:pPr>
      <w:r>
        <w:t>13 Third party claims caused by misuse</w:t>
      </w:r>
    </w:p>
    <w:p>
      <w:pPr/>
      <w:r>
        <w:t>To the extent permitted by law, you must indemnify MyDancr and its officers, employees, and agents against third-party claims, resulting damages, and reasonable defense costs caused by your unlawful use, your submission’s infringement of another person’s rights, or your material breach. This does not cover a claim to the extent caused by the protected person’s negligence, breach, fraud, or willful misconduct, or where law prohibits indemnification.</w:t>
      </w:r>
    </w:p>
    <w:p>
      <w:pPr/>
      <w:r>
        <w:t>MyDancr must give reasonably prompt claim notice, allow you to control the covered defense using reasonably acceptable counsel, and provide reasonable cooperation at your expense. Delay in notice reduces your obligation only to the extent it prejudices the defense. You must not settle by admitting fault, imposing an obligation on a protected person, or leaving a protected person without an unconditional release unless that person consents. MyDancr may participate with its own counsel at its expense. Covered and uncovered portions must be allocated according to their cause.</w:t>
      </w:r>
    </w:p>
    <w:p>
      <w:pPr>
        <w:pStyle w:val="Heading1"/>
      </w:pPr>
      <w:r>
        <w:t>14 Individual arbitration and dispute resolution</w:t>
      </w:r>
    </w:p>
    <w:p>
      <w:pPr/>
      <w:r>
        <w:t>Except for the matters identified below, you and MyDancr must resolve disputes arising from this document or your use of MyDancr by binding individual arbitration before one neutral arbitrator. The Federal Arbitration Act governs this arbitration provision. Arbitration replaces a court trial for the claims it covers and ordinarily provides more limited discovery and judicial review.</w:t>
      </w:r>
    </w:p>
    <w:p>
      <w:pPr/>
      <w:r>
        <w:t xml:space="preserve">NAM (National Arbitration and Mediation) will administer the case under its Comprehensive Dispute Resolution Rules and Procedures in effect when the claim is filed, including mandatory supplemental procedures. NAM’s consumer fairness standards and consumer fee schedule apply when NAM classifies the dispute as a consumer matter. Applicable employment procedures and mandatory protections apply when required; this provision does not determine anyone’s worker classification. </w:t>
      </w:r>
      <w:hyperlink r:id="rId15">
        <w:r>
          <w:rPr>
            <w:color w:val="0000FF"/>
            <w:u w:val="single"/>
            <w:sz w:val="22"/>
            <w:szCs w:val="22"/>
            <w:rFonts w:ascii="Calibri" w:hAnsi="Calibri"/>
          </w:rPr>
          <w:t>Rules, fees, and filing information</w:t>
        </w:r>
      </w:hyperlink>
      <w:r>
        <w:t xml:space="preserve"> are available from NAM or by calling 1-800-358-2550.</w:t>
      </w:r>
    </w:p>
    <w:p>
      <w:pPr/>
      <w:r>
        <w:t xml:space="preserve">Before filing, the claimant must send a notice describing the dispute, the relevant account or request reference if available, and the relief sought. Send a notice to MyDancr at </w:t>
      </w:r>
      <w:hyperlink r:id="rId13">
        <w:r>
          <w:rPr>
            <w:color w:val="0000FF"/>
            <w:u w:val="single"/>
            <w:sz w:val="22"/>
            <w:szCs w:val="22"/>
            <w:rFonts w:ascii="Calibri" w:hAnsi="Calibri"/>
          </w:rPr>
          <w:t>support@mydancr.com</w:t>
        </w:r>
      </w:hyperlink>
      <w:r>
        <w:t xml:space="preserve"> or MyDancr LLC, 30 N Gould St STE R, Sheridan, WY 82801, Attn Legal. MyDancr will use your account email or another address you provide. The parties must attempt resolution for 30 days after receipt. Applicable limitation periods are suspended during that period to the extent permitted by law. A party may file sooner when necessary to preserve a claim or obtain urgent relief.</w:t>
      </w:r>
    </w:p>
    <w:p>
      <w:pPr/>
      <w:r>
        <w:t>Hearings will take place by video or telephone unless the parties agree otherwise or the arbitrator determines another format is required for a fair hearing. Any required in-person hearing must be reasonably convenient to the individual participant. The arbitrator may allow relevant discovery and award the relief available under applicable law and must issue a reasoned written decision.</w:t>
      </w:r>
    </w:p>
    <w:p>
      <w:pPr/>
      <w:r>
        <w:t>Fees follow the applicable NAM schedule and law. MyDancr must pay the amounts assigned to the business and any additional amount required to prevent prohibitive costs from defeating access to arbitration. Each party bears its legal fees unless applicable law permits an award or a separate, enforceable indemnity covers a third-party claim. A good-faith challenge to this document or arbitration does not itself create a penalty or fee obligation.</w:t>
      </w:r>
    </w:p>
    <w:p>
      <w:pPr/>
      <w:r>
        <w:t>Either party may bring an eligible individual claim in small-claims court. Either party may ask a court for temporary relief needed to preserve the status quo pending arbitration. Claims or remedies that cannot lawfully be subjected to predispute arbitration may proceed in court, including where the Ending Forced Arbitration of Sexual Assault and Sexual Harassment Act applies. Nothing prevents government reports or investigations or waives nonwaivable public injunctive relief.</w:t>
      </w:r>
    </w:p>
    <w:p>
      <w:pPr/>
      <w:r>
        <w:t>Claims must proceed individually. Neither party may pursue a class, collective, or representative proceeding, or consolidate different claimants’ disputes, unless all affected parties expressly agree after the dispute arises. A court decides formation of the arbitration agreement, enforceability of this waiver, and other questions the law reserves to courts. The arbitrator decides the remaining arbitrable issues. If a claim or remedy cannot lawfully be subject to this waiver, that part will proceed in court and the remaining arbitrable claims will proceed in arbitration, subject to applicable law.</w:t>
      </w:r>
    </w:p>
    <w:p>
      <w:pPr/>
      <w:r>
        <w:t>If NAM declines to administer and the parties do not agree on a substitute no later than 30 days afterward, either party may proceed in a court with jurisdiction. This fallback does not excuse required fees or eliminate remedies for nonpayment. Applicable law supplies claim deadlines; this document does not shorten them.</w:t>
      </w:r>
    </w:p>
    <w:p>
      <w:pPr/>
      <w:r>
        <w:t xml:space="preserve">You may opt out of this arbitration provision by emailing </w:t>
      </w:r>
      <w:hyperlink r:id="rId13">
        <w:r>
          <w:rPr>
            <w:color w:val="0000FF"/>
            <w:u w:val="single"/>
            <w:sz w:val="22"/>
            <w:szCs w:val="22"/>
            <w:rFonts w:ascii="Calibri" w:hAnsi="Calibri"/>
          </w:rPr>
          <w:t>support@mydancr.com</w:t>
        </w:r>
      </w:hyperlink>
      <w:r>
        <w:t xml:space="preserve"> no later than 30 days after first accepting it. Include your name, account email if any, and an unambiguous statement that you opt out of arbitration. If you accepted without an account, provide a request reference or other details that let us locate your acceptance. Opting out does not affect other terms or a separate arbitration agreement you validly accepted.</w:t>
      </w:r>
    </w:p>
    <w:p>
      <w:pPr>
        <w:pStyle w:val="Heading1"/>
      </w:pPr>
      <w:r>
        <w:t>15 Governing law and remaining terms</w:t>
      </w:r>
    </w:p>
    <w:p>
      <w:pPr/>
      <w:r>
        <w:t>Wyoming law governs these terms, subject to the Federal Arbitration Act and mandatory law. For proceedings permitted in court, you and MyDancr consent to the exclusive jurisdiction and venue of the state and federal courts located in Wyoming, except eligible small-claims cases and a forum required by nonwaivable law. This selection does not deprive a consumer of mandatory protections.</w:t>
      </w:r>
    </w:p>
    <w:p>
      <w:pPr/>
      <w:r>
        <w:t>These terms and any separate documents validly accepted for your account or use of a feature form the agreement between you and MyDancr. Section 1 resolves conflicts between those documents. You must not assign your rights without MyDancr’s written consent. MyDancr may assign to a successor that assumes its obligations in a merger, reorganization, or transfer of the service, subject to privacy law and nonwaivable rights. An unauthorized assignment is ineffective.</w:t>
      </w:r>
    </w:p>
    <w:p>
      <w:pPr/>
      <w:r>
        <w:t>If a provision is unenforceable, the remaining provisions continue to the extent they can operate lawfully, subject to the arbitration rules above. Failure to enforce a provision on one occasion does not waive it later. Accrued claims, ownership, licenses for their stated duration, lawful restricted retention, applicable indemnity, liability limits, and dispute provisions continue only as needed to give them effect.</w:t>
      </w:r>
    </w:p>
    <w:p>
      <w:pPr>
        <w:pStyle w:val="Heading1"/>
      </w:pPr>
      <w:r>
        <w:t>16 Contact</w:t>
      </w:r>
    </w:p>
    <w:p>
      <w:pPr/>
      <w:r>
        <w:t xml:space="preserve">Email </w:t>
      </w:r>
      <w:hyperlink r:id="rId13">
        <w:r>
          <w:rPr>
            <w:color w:val="0000FF"/>
            <w:u w:val="single"/>
            <w:sz w:val="22"/>
            <w:szCs w:val="22"/>
            <w:rFonts w:ascii="Calibri" w:hAnsi="Calibri"/>
          </w:rPr>
          <w:t>support@mydancr.com</w:t>
        </w:r>
      </w:hyperlink>
      <w:r>
        <w:t xml:space="preserve"> or write to MyDancr LLC, 30 N Gould St STE R, Sheridan, WY 82801. Dispute notices follow section 14.</w:t>
      </w:r>
    </w:p>
    <w:sectPr>
      <w:footerReference w:type="default" r:id="rId16"/>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200" w:line="240" w:lineRule="auto"/>
      <w:jc w:val="left"/>
    </w:pPr>
    <w:rPr>
      <w:rFonts w:ascii="Calibri" w:hAnsi="Calibri"/>
      <w:b w:val="0"/>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200" w:line="240" w:lineRule="auto" w:before="0"/>
      <w:jc w:val="left"/>
    </w:pPr>
    <w:rPr>
      <w:rFonts w:ascii="Calibri" w:hAnsi="Calibri"/>
      <w:b w:val="0"/>
      <w:color w:val="000000"/>
      <w:sz w:val="22"/>
    </w:rPr>
  </w:style>
  <w:style w:type="character" w:customStyle="1" w:styleId="HeaderChar">
    <w:name w:val="Header Char"/>
    <w:basedOn w:val="DefaultParagraphFont"/>
    <w:link w:val="Header"/>
    <w:uiPriority w:val="99"/>
    <w:rsid w:val="00E618BF"/>
    <w:rPr>
      <w:rFonts w:ascii="Calibri" w:hAnsi="Calibri"/>
      <w:b w:val="0"/>
      <w:color w:val="000000"/>
      <w:sz w:val="22"/>
    </w:rPr>
  </w:style>
  <w:style w:type="paragraph" w:styleId="Footer">
    <w:name w:val="footer"/>
    <w:basedOn w:val="Normal"/>
    <w:link w:val="FooterChar"/>
    <w:uiPriority w:val="99"/>
    <w:unhideWhenUsed/>
    <w:rsid w:val="00E618BF"/>
    <w:pPr>
      <w:widowControl/>
      <w:tabs>
        <w:tab w:val="center" w:pos="4680"/>
        <w:tab w:val="right" w:pos="9360"/>
      </w:tabs>
      <w:spacing w:after="200" w:line="240" w:lineRule="auto" w:before="0"/>
      <w:jc w:val="left"/>
    </w:pPr>
    <w:rPr>
      <w:rFonts w:ascii="Calibri" w:hAnsi="Calibri"/>
      <w:b w:val="0"/>
      <w:color w:val="000000"/>
      <w:sz w:val="22"/>
    </w:rPr>
  </w:style>
  <w:style w:type="character" w:customStyle="1" w:styleId="FooterChar">
    <w:name w:val="Footer Char"/>
    <w:basedOn w:val="DefaultParagraphFont"/>
    <w:link w:val="Footer"/>
    <w:uiPriority w:val="99"/>
    <w:rsid w:val="00E618BF"/>
    <w:rPr>
      <w:rFonts w:ascii="Calibri" w:hAnsi="Calibri"/>
      <w:b w:val="0"/>
      <w:color w:val="000000"/>
      <w:sz w:val="22"/>
    </w:rPr>
  </w:style>
  <w:style w:type="paragraph" w:styleId="Heading1">
    <w:name w:val="heading 1"/>
    <w:basedOn w:val="Normal"/>
    <w:next w:val="Normal"/>
    <w:link w:val="Heading1Char"/>
    <w:uiPriority w:val="9"/>
    <w:qFormat/>
    <w:rsid w:val="00FC693F"/>
    <w:pPr>
      <w:keepNext/>
      <w:keepLines/>
      <w:widowControl/>
      <w:spacing w:before="0" w:after="200" w:line="240" w:lineRule="auto"/>
      <w:jc w:val="left"/>
      <w:outlineLvl w:val="0"/>
    </w:pPr>
    <w:rPr>
      <w:rFonts w:asciiTheme="majorHAnsi" w:eastAsiaTheme="majorEastAsia" w:hAnsiTheme="majorHAnsi" w:cstheme="majorBidi" w:ascii="Calibri" w:hAnsi="Calibri"/>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0" w:after="200" w:line="240" w:lineRule="auto"/>
      <w:jc w:val="left"/>
      <w:outlineLvl w:val="1"/>
    </w:pPr>
    <w:rPr>
      <w:rFonts w:asciiTheme="majorHAnsi" w:eastAsiaTheme="majorEastAsia" w:hAnsiTheme="majorHAnsi" w:cstheme="majorBidi" w:ascii="Calibri" w:hAnsi="Calibri"/>
      <w:b w:val="0"/>
      <w:bCs/>
      <w:color w:val="000000"/>
      <w:sz w:val="22"/>
      <w:szCs w:val="26"/>
    </w:rPr>
  </w:style>
  <w:style w:type="paragraph" w:styleId="Heading3">
    <w:name w:val="heading 3"/>
    <w:basedOn w:val="Normal"/>
    <w:next w:val="Normal"/>
    <w:link w:val="Heading3Char"/>
    <w:uiPriority w:val="9"/>
    <w:unhideWhenUsed/>
    <w:qFormat/>
    <w:rsid w:val="00FC693F"/>
    <w:pPr>
      <w:keepNext/>
      <w:keepLines/>
      <w:widowControl/>
      <w:spacing w:before="0" w:after="200" w:line="240" w:lineRule="auto"/>
      <w:jc w:val="left"/>
      <w:outlineLvl w:val="2"/>
    </w:pPr>
    <w:rPr>
      <w:rFonts w:asciiTheme="majorHAnsi" w:eastAsiaTheme="majorEastAsia" w:hAnsiTheme="majorHAnsi" w:cstheme="majorBidi" w:ascii="Calibri" w:hAnsi="Calibri"/>
      <w:b w:val="0"/>
      <w:bCs/>
      <w:color w:val="000000"/>
      <w:sz w:val="22"/>
    </w:rPr>
  </w:style>
  <w:style w:type="paragraph" w:styleId="Heading4">
    <w:name w:val="heading 4"/>
    <w:basedOn w:val="Normal"/>
    <w:next w:val="Normal"/>
    <w:link w:val="Heading4Char"/>
    <w:uiPriority w:val="9"/>
    <w:semiHidden/>
    <w:unhideWhenUsed/>
    <w:qFormat/>
    <w:rsid w:val="00FC693F"/>
    <w:pPr>
      <w:keepNext/>
      <w:keepLines/>
      <w:widowControl/>
      <w:spacing w:before="0" w:after="200" w:line="240" w:lineRule="auto"/>
      <w:jc w:val="left"/>
      <w:outlineLvl w:val="3"/>
    </w:pPr>
    <w:rPr>
      <w:rFonts w:asciiTheme="majorHAnsi" w:eastAsiaTheme="majorEastAsia" w:hAnsiTheme="majorHAnsi" w:cstheme="majorBidi" w:ascii="Calibri" w:hAnsi="Calibri"/>
      <w:b w:val="0"/>
      <w:bCs/>
      <w:i/>
      <w:iCs/>
      <w:color w:val="000000"/>
      <w:sz w:val="22"/>
    </w:rPr>
  </w:style>
  <w:style w:type="paragraph" w:styleId="Heading5">
    <w:name w:val="heading 5"/>
    <w:basedOn w:val="Normal"/>
    <w:next w:val="Normal"/>
    <w:link w:val="Heading5Char"/>
    <w:uiPriority w:val="9"/>
    <w:semiHidden/>
    <w:unhideWhenUsed/>
    <w:qFormat/>
    <w:rsid w:val="00FC693F"/>
    <w:pPr>
      <w:keepNext/>
      <w:keepLines/>
      <w:widowControl/>
      <w:spacing w:before="0" w:after="200" w:line="240" w:lineRule="auto"/>
      <w:jc w:val="left"/>
      <w:outlineLvl w:val="4"/>
    </w:pPr>
    <w:rPr>
      <w:rFonts w:asciiTheme="majorHAnsi" w:eastAsiaTheme="majorEastAsia" w:hAnsiTheme="majorHAnsi" w:cstheme="majorBidi" w:ascii="Calibri" w:hAnsi="Calibri"/>
      <w:b w:val="0"/>
      <w:color w:val="000000"/>
      <w:sz w:val="22"/>
    </w:rPr>
  </w:style>
  <w:style w:type="paragraph" w:styleId="Heading6">
    <w:name w:val="heading 6"/>
    <w:basedOn w:val="Normal"/>
    <w:next w:val="Normal"/>
    <w:link w:val="Heading6Char"/>
    <w:uiPriority w:val="9"/>
    <w:semiHidden/>
    <w:unhideWhenUsed/>
    <w:qFormat/>
    <w:rsid w:val="00FC693F"/>
    <w:pPr>
      <w:keepNext/>
      <w:keepLines/>
      <w:widowControl/>
      <w:spacing w:before="0" w:after="200" w:line="240" w:lineRule="auto"/>
      <w:jc w:val="left"/>
      <w:outlineLvl w:val="5"/>
    </w:pPr>
    <w:rPr>
      <w:rFonts w:asciiTheme="majorHAnsi" w:eastAsiaTheme="majorEastAsia" w:hAnsiTheme="majorHAnsi" w:cstheme="majorBidi" w:ascii="Calibri" w:hAnsi="Calibri"/>
      <w:b w:val="0"/>
      <w:i/>
      <w:iCs/>
      <w:color w:val="000000"/>
      <w:sz w:val="22"/>
    </w:rPr>
  </w:style>
  <w:style w:type="paragraph" w:styleId="Heading7">
    <w:name w:val="heading 7"/>
    <w:basedOn w:val="Normal"/>
    <w:next w:val="Normal"/>
    <w:link w:val="Heading7Char"/>
    <w:uiPriority w:val="9"/>
    <w:semiHidden/>
    <w:unhideWhenUsed/>
    <w:qFormat/>
    <w:rsid w:val="00FC693F"/>
    <w:pPr>
      <w:keepNext/>
      <w:keepLines/>
      <w:widowControl/>
      <w:spacing w:before="0" w:after="200" w:line="240" w:lineRule="auto"/>
      <w:jc w:val="left"/>
      <w:outlineLvl w:val="6"/>
    </w:pPr>
    <w:rPr>
      <w:rFonts w:asciiTheme="majorHAnsi" w:eastAsiaTheme="majorEastAsia" w:hAnsiTheme="majorHAnsi" w:cstheme="majorBidi" w:ascii="Calibri" w:hAnsi="Calibri"/>
      <w:b w:val="0"/>
      <w:i/>
      <w:iCs/>
      <w:color w:val="000000"/>
      <w:sz w:val="22"/>
    </w:rPr>
  </w:style>
  <w:style w:type="paragraph" w:styleId="Heading8">
    <w:name w:val="heading 8"/>
    <w:basedOn w:val="Normal"/>
    <w:next w:val="Normal"/>
    <w:link w:val="Heading8Char"/>
    <w:uiPriority w:val="9"/>
    <w:semiHidden/>
    <w:unhideWhenUsed/>
    <w:qFormat/>
    <w:rsid w:val="00FC693F"/>
    <w:pPr>
      <w:keepNext/>
      <w:keepLines/>
      <w:widowControl/>
      <w:spacing w:before="0" w:after="200" w:line="240" w:lineRule="auto"/>
      <w:jc w:val="left"/>
      <w:outlineLvl w:val="7"/>
    </w:pPr>
    <w:rPr>
      <w:rFonts w:asciiTheme="majorHAnsi" w:eastAsiaTheme="majorEastAsia" w:hAnsiTheme="majorHAnsi" w:cstheme="majorBidi" w:ascii="Calibri" w:hAnsi="Calibri"/>
      <w:b w:val="0"/>
      <w:color w:val="000000"/>
      <w:sz w:val="22"/>
      <w:szCs w:val="20"/>
    </w:rPr>
  </w:style>
  <w:style w:type="paragraph" w:styleId="Heading9">
    <w:name w:val="heading 9"/>
    <w:basedOn w:val="Normal"/>
    <w:next w:val="Normal"/>
    <w:link w:val="Heading9Char"/>
    <w:uiPriority w:val="9"/>
    <w:semiHidden/>
    <w:unhideWhenUsed/>
    <w:qFormat/>
    <w:rsid w:val="00FC693F"/>
    <w:pPr>
      <w:keepNext/>
      <w:keepLines/>
      <w:widowControl/>
      <w:spacing w:before="0" w:after="200" w:line="240" w:lineRule="auto"/>
      <w:jc w:val="left"/>
      <w:outlineLvl w:val="8"/>
    </w:pPr>
    <w:rPr>
      <w:rFonts w:asciiTheme="majorHAnsi" w:eastAsiaTheme="majorEastAsia" w:hAnsiTheme="majorHAnsi" w:cstheme="majorBidi" w:ascii="Calibri" w:hAnsi="Calibri"/>
      <w:b w:val="0"/>
      <w:i/>
      <w:iCs/>
      <w:color w:val="000000"/>
      <w:sz w:val="22"/>
      <w:szCs w:val="20"/>
    </w:rPr>
  </w:style>
  <w:style w:type="character" w:default="1" w:styleId="DefaultParagraphFont">
    <w:name w:val="Default Paragraph Font"/>
    <w:uiPriority w:val="1"/>
    <w:semiHidden/>
    <w:unhideWhenUsed/>
    <w:rPr>
      <w:rFonts w:ascii="Calibri" w:hAnsi="Calibri"/>
      <w:b w:val="0"/>
      <w:color w:val="000000"/>
      <w:sz w:val="22"/>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widowControl/>
      <w:spacing w:after="200" w:line="240" w:lineRule="auto" w:before="0"/>
      <w:jc w:val="left"/>
    </w:pPr>
    <w:rPr>
      <w:rFonts w:ascii="Calibri" w:hAnsi="Calibri"/>
      <w:b w:val="0"/>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val="0"/>
      <w:bCs/>
      <w:color w:val="000000"/>
      <w:sz w:val="22"/>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val="0"/>
      <w:bCs/>
      <w:color w:val="000000"/>
      <w:sz w:val="22"/>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val="0"/>
      <w:bCs/>
      <w:color w:val="000000"/>
      <w:sz w:val="22"/>
    </w:rPr>
  </w:style>
  <w:style w:type="paragraph" w:styleId="Title">
    <w:name w:val="Title"/>
    <w:basedOn w:val="Normal"/>
    <w:next w:val="Normal"/>
    <w:link w:val="TitleChar"/>
    <w:uiPriority w:val="10"/>
    <w:qFormat/>
    <w:rsid w:val="00FC693F"/>
    <w:pPr>
      <w:keepNext/>
      <w:widowControl/>
      <w:spacing w:after="200" w:line="240" w:lineRule="auto" w:before="0"/>
      <w:contextualSpacing/>
      <w:jc w:val="left"/>
    </w:pPr>
    <w:rPr>
      <w:rFonts w:asciiTheme="majorHAnsi" w:eastAsiaTheme="majorEastAsia" w:hAnsiTheme="majorHAnsi" w:cstheme="majorBidi" w:ascii="Calibri" w:hAnsi="Calibri"/>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b w:val="0"/>
      <w:color w:val="000000"/>
      <w:spacing w:val="5"/>
      <w:kern w:val="28"/>
      <w:sz w:val="22"/>
      <w:szCs w:val="52"/>
    </w:rPr>
  </w:style>
  <w:style w:type="paragraph" w:styleId="Subtitle">
    <w:name w:val="Subtitle"/>
    <w:basedOn w:val="Normal"/>
    <w:next w:val="Normal"/>
    <w:link w:val="SubtitleChar"/>
    <w:uiPriority w:val="11"/>
    <w:qFormat/>
    <w:rsid w:val="00FC693F"/>
    <w:pPr>
      <w:widowControl/>
      <w:numPr>
        <w:ilvl w:val="1"/>
      </w:numPr>
      <w:spacing w:before="0" w:after="200" w:line="240" w:lineRule="auto"/>
      <w:jc w:val="left"/>
    </w:pPr>
    <w:rPr>
      <w:rFonts w:asciiTheme="majorHAnsi" w:eastAsiaTheme="majorEastAsia" w:hAnsiTheme="majorHAnsi" w:cstheme="majorBidi" w:ascii="Calibri" w:hAnsi="Calibri"/>
      <w:b w:val="0"/>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b w:val="0"/>
      <w:i/>
      <w:iCs/>
      <w:color w:val="000000"/>
      <w:spacing w:val="15"/>
      <w:sz w:val="22"/>
      <w:szCs w:val="24"/>
    </w:rPr>
  </w:style>
  <w:style w:type="paragraph" w:styleId="ListParagraph">
    <w:name w:val="List Paragraph"/>
    <w:basedOn w:val="Normal"/>
    <w:uiPriority w:val="34"/>
    <w:qFormat/>
    <w:rsid w:val="00FC693F"/>
    <w:pPr>
      <w:widowControl/>
      <w:spacing w:before="0" w:after="200" w:line="240" w:lineRule="auto"/>
      <w:ind w:left="720"/>
      <w:contextualSpacing/>
      <w:jc w:val="left"/>
    </w:pPr>
    <w:rPr>
      <w:rFonts w:ascii="Calibri" w:hAnsi="Calibri"/>
      <w:b w:val="0"/>
      <w:color w:val="000000"/>
      <w:sz w:val="22"/>
    </w:rPr>
  </w:style>
  <w:style w:type="paragraph" w:styleId="BodyText">
    <w:name w:val="Body Text"/>
    <w:basedOn w:val="Normal"/>
    <w:link w:val="BodyTextChar"/>
    <w:uiPriority w:val="99"/>
    <w:unhideWhenUsed/>
    <w:rsid w:val="00AA1D8D"/>
    <w:pPr>
      <w:widowControl/>
      <w:spacing w:after="200" w:before="0" w:line="240" w:lineRule="auto"/>
      <w:jc w:val="left"/>
    </w:pPr>
    <w:rPr>
      <w:rFonts w:ascii="Calibri" w:hAnsi="Calibri"/>
      <w:b w:val="0"/>
      <w:color w:val="000000"/>
      <w:sz w:val="22"/>
    </w:rPr>
  </w:style>
  <w:style w:type="character" w:customStyle="1" w:styleId="BodyTextChar">
    <w:name w:val="Body Text Char"/>
    <w:basedOn w:val="DefaultParagraphFont"/>
    <w:link w:val="BodyText"/>
    <w:uiPriority w:val="99"/>
    <w:rsid w:val="00AA1D8D"/>
    <w:rPr>
      <w:rFonts w:ascii="Calibri" w:hAnsi="Calibri"/>
      <w:b w:val="0"/>
      <w:color w:val="000000"/>
      <w:sz w:val="22"/>
    </w:rPr>
  </w:style>
  <w:style w:type="paragraph" w:styleId="BodyText2">
    <w:name w:val="Body Text 2"/>
    <w:basedOn w:val="Normal"/>
    <w:link w:val="BodyText2Char"/>
    <w:uiPriority w:val="99"/>
    <w:unhideWhenUsed/>
    <w:rsid w:val="00AA1D8D"/>
    <w:pPr>
      <w:widowControl/>
      <w:spacing w:after="200" w:line="240" w:lineRule="auto" w:before="0"/>
      <w:jc w:val="left"/>
    </w:pPr>
    <w:rPr>
      <w:rFonts w:ascii="Calibri" w:hAnsi="Calibri"/>
      <w:b w:val="0"/>
      <w:color w:val="000000"/>
      <w:sz w:val="22"/>
    </w:rPr>
  </w:style>
  <w:style w:type="character" w:customStyle="1" w:styleId="BodyText2Char">
    <w:name w:val="Body Text 2 Char"/>
    <w:basedOn w:val="DefaultParagraphFont"/>
    <w:link w:val="BodyText2"/>
    <w:uiPriority w:val="99"/>
    <w:rsid w:val="00AA1D8D"/>
    <w:rPr>
      <w:rFonts w:ascii="Calibri" w:hAnsi="Calibri"/>
      <w:b w:val="0"/>
      <w:color w:val="000000"/>
      <w:sz w:val="22"/>
    </w:rPr>
  </w:style>
  <w:style w:type="paragraph" w:styleId="BodyText3">
    <w:name w:val="Body Text 3"/>
    <w:basedOn w:val="Normal"/>
    <w:link w:val="BodyText3Char"/>
    <w:uiPriority w:val="99"/>
    <w:unhideWhenUsed/>
    <w:rsid w:val="00AA1D8D"/>
    <w:pPr>
      <w:widowControl/>
      <w:spacing w:after="200" w:before="0" w:line="240" w:lineRule="auto"/>
      <w:jc w:val="left"/>
    </w:pPr>
    <w:rPr>
      <w:rFonts w:ascii="Calibri" w:hAnsi="Calibri"/>
      <w:b w:val="0"/>
      <w:color w:val="000000"/>
      <w:sz w:val="22"/>
      <w:szCs w:val="16"/>
    </w:rPr>
  </w:style>
  <w:style w:type="character" w:customStyle="1" w:styleId="BodyText3Char">
    <w:name w:val="Body Text 3 Char"/>
    <w:basedOn w:val="DefaultParagraphFont"/>
    <w:link w:val="BodyText3"/>
    <w:uiPriority w:val="99"/>
    <w:rsid w:val="00AA1D8D"/>
    <w:rPr>
      <w:rFonts w:ascii="Calibri" w:hAnsi="Calibri"/>
      <w:b w:val="0"/>
      <w:color w:val="000000"/>
      <w:sz w:val="22"/>
      <w:szCs w:val="16"/>
    </w:rPr>
  </w:style>
  <w:style w:type="paragraph" w:styleId="List">
    <w:name w:val="List"/>
    <w:basedOn w:val="Normal"/>
    <w:uiPriority w:val="99"/>
    <w:unhideWhenUsed/>
    <w:rsid w:val="00AA1D8D"/>
    <w:pPr>
      <w:widowControl/>
      <w:spacing w:before="0" w:after="200" w:line="240" w:lineRule="auto"/>
      <w:ind w:left="360" w:hanging="360"/>
      <w:contextualSpacing/>
      <w:jc w:val="left"/>
    </w:pPr>
    <w:rPr>
      <w:rFonts w:ascii="Calibri" w:hAnsi="Calibri"/>
      <w:b w:val="0"/>
      <w:color w:val="000000"/>
      <w:sz w:val="22"/>
    </w:rPr>
  </w:style>
  <w:style w:type="paragraph" w:styleId="List2">
    <w:name w:val="List 2"/>
    <w:basedOn w:val="Normal"/>
    <w:uiPriority w:val="99"/>
    <w:unhideWhenUsed/>
    <w:rsid w:val="00326F90"/>
    <w:pPr>
      <w:widowControl/>
      <w:spacing w:before="0" w:after="200" w:line="240" w:lineRule="auto"/>
      <w:ind w:left="720" w:hanging="360"/>
      <w:contextualSpacing/>
      <w:jc w:val="left"/>
    </w:pPr>
    <w:rPr>
      <w:rFonts w:ascii="Calibri" w:hAnsi="Calibri"/>
      <w:b w:val="0"/>
      <w:color w:val="000000"/>
      <w:sz w:val="22"/>
    </w:rPr>
  </w:style>
  <w:style w:type="paragraph" w:styleId="List3">
    <w:name w:val="List 3"/>
    <w:basedOn w:val="Normal"/>
    <w:uiPriority w:val="99"/>
    <w:unhideWhenUsed/>
    <w:rsid w:val="00326F90"/>
    <w:pPr>
      <w:widowControl/>
      <w:spacing w:before="0" w:after="200" w:line="240" w:lineRule="auto"/>
      <w:ind w:left="1080" w:hanging="360"/>
      <w:contextualSpacing/>
      <w:jc w:val="left"/>
    </w:pPr>
    <w:rPr>
      <w:rFonts w:ascii="Calibri" w:hAnsi="Calibri"/>
      <w:b w:val="0"/>
      <w:color w:val="000000"/>
      <w:sz w:val="22"/>
    </w:rPr>
  </w:style>
  <w:style w:type="paragraph" w:styleId="ListBullet">
    <w:name w:val="List Bullet"/>
    <w:basedOn w:val="Normal"/>
    <w:uiPriority w:val="99"/>
    <w:unhideWhenUsed/>
    <w:rsid w:val="00326F90"/>
    <w:pPr>
      <w:widowControl/>
      <w:numPr>
        <w:numId w:val="1"/>
      </w:numPr>
      <w:spacing w:before="0" w:after="200" w:line="240" w:lineRule="auto"/>
      <w:contextualSpacing/>
      <w:jc w:val="left"/>
    </w:pPr>
    <w:rPr>
      <w:rFonts w:ascii="Calibri" w:hAnsi="Calibri"/>
      <w:b w:val="0"/>
      <w:color w:val="000000"/>
      <w:sz w:val="22"/>
    </w:rPr>
  </w:style>
  <w:style w:type="paragraph" w:styleId="ListBullet2">
    <w:name w:val="List Bullet 2"/>
    <w:basedOn w:val="Normal"/>
    <w:uiPriority w:val="99"/>
    <w:unhideWhenUsed/>
    <w:rsid w:val="00326F90"/>
    <w:pPr>
      <w:widowControl/>
      <w:numPr>
        <w:numId w:val="2"/>
      </w:numPr>
      <w:spacing w:before="0" w:after="200" w:line="240" w:lineRule="auto"/>
      <w:contextualSpacing/>
      <w:jc w:val="left"/>
    </w:pPr>
    <w:rPr>
      <w:rFonts w:ascii="Calibri" w:hAnsi="Calibri"/>
      <w:b w:val="0"/>
      <w:color w:val="000000"/>
      <w:sz w:val="22"/>
    </w:rPr>
  </w:style>
  <w:style w:type="paragraph" w:styleId="ListBullet3">
    <w:name w:val="List Bullet 3"/>
    <w:basedOn w:val="Normal"/>
    <w:uiPriority w:val="99"/>
    <w:unhideWhenUsed/>
    <w:rsid w:val="00326F90"/>
    <w:pPr>
      <w:widowControl/>
      <w:numPr>
        <w:numId w:val="3"/>
      </w:numPr>
      <w:spacing w:before="0" w:after="200" w:line="240" w:lineRule="auto"/>
      <w:contextualSpacing/>
      <w:jc w:val="left"/>
    </w:pPr>
    <w:rPr>
      <w:rFonts w:ascii="Calibri" w:hAnsi="Calibri"/>
      <w:b w:val="0"/>
      <w:color w:val="000000"/>
      <w:sz w:val="22"/>
    </w:rPr>
  </w:style>
  <w:style w:type="paragraph" w:styleId="ListNumber">
    <w:name w:val="List Number"/>
    <w:basedOn w:val="Normal"/>
    <w:uiPriority w:val="99"/>
    <w:unhideWhenUsed/>
    <w:rsid w:val="00326F90"/>
    <w:pPr>
      <w:widowControl/>
      <w:numPr>
        <w:numId w:val="5"/>
      </w:numPr>
      <w:spacing w:before="0" w:after="200" w:line="240" w:lineRule="auto"/>
      <w:contextualSpacing/>
      <w:jc w:val="left"/>
    </w:pPr>
    <w:rPr>
      <w:rFonts w:ascii="Calibri" w:hAnsi="Calibri"/>
      <w:b w:val="0"/>
      <w:color w:val="000000"/>
      <w:sz w:val="22"/>
    </w:rPr>
  </w:style>
  <w:style w:type="paragraph" w:styleId="ListNumber2">
    <w:name w:val="List Number 2"/>
    <w:basedOn w:val="Normal"/>
    <w:uiPriority w:val="99"/>
    <w:unhideWhenUsed/>
    <w:rsid w:val="0029639D"/>
    <w:pPr>
      <w:widowControl/>
      <w:numPr>
        <w:numId w:val="6"/>
      </w:numPr>
      <w:spacing w:before="0" w:after="200" w:line="240" w:lineRule="auto"/>
      <w:contextualSpacing/>
      <w:jc w:val="left"/>
    </w:pPr>
    <w:rPr>
      <w:rFonts w:ascii="Calibri" w:hAnsi="Calibri"/>
      <w:b w:val="0"/>
      <w:color w:val="000000"/>
      <w:sz w:val="22"/>
    </w:rPr>
  </w:style>
  <w:style w:type="paragraph" w:styleId="ListNumber3">
    <w:name w:val="List Number 3"/>
    <w:basedOn w:val="Normal"/>
    <w:uiPriority w:val="99"/>
    <w:unhideWhenUsed/>
    <w:rsid w:val="0029639D"/>
    <w:pPr>
      <w:widowControl/>
      <w:numPr>
        <w:numId w:val="7"/>
      </w:numPr>
      <w:spacing w:before="0" w:after="200" w:line="240" w:lineRule="auto"/>
      <w:contextualSpacing/>
      <w:jc w:val="left"/>
    </w:pPr>
    <w:rPr>
      <w:rFonts w:ascii="Calibri" w:hAnsi="Calibri"/>
      <w:b w:val="0"/>
      <w:color w:val="000000"/>
      <w:sz w:val="22"/>
    </w:rPr>
  </w:style>
  <w:style w:type="paragraph" w:styleId="ListContinue">
    <w:name w:val="List Continue"/>
    <w:basedOn w:val="Normal"/>
    <w:uiPriority w:val="99"/>
    <w:unhideWhenUsed/>
    <w:rsid w:val="0029639D"/>
    <w:pPr>
      <w:widowControl/>
      <w:spacing w:after="200" w:before="0" w:line="240" w:lineRule="auto"/>
      <w:ind w:left="360"/>
      <w:contextualSpacing/>
      <w:jc w:val="left"/>
    </w:pPr>
    <w:rPr>
      <w:rFonts w:ascii="Calibri" w:hAnsi="Calibri"/>
      <w:b w:val="0"/>
      <w:color w:val="000000"/>
      <w:sz w:val="22"/>
    </w:rPr>
  </w:style>
  <w:style w:type="paragraph" w:styleId="ListContinue2">
    <w:name w:val="List Continue 2"/>
    <w:basedOn w:val="Normal"/>
    <w:uiPriority w:val="99"/>
    <w:unhideWhenUsed/>
    <w:rsid w:val="0029639D"/>
    <w:pPr>
      <w:widowControl/>
      <w:spacing w:after="200" w:before="0" w:line="240" w:lineRule="auto"/>
      <w:ind w:left="720"/>
      <w:contextualSpacing/>
      <w:jc w:val="left"/>
    </w:pPr>
    <w:rPr>
      <w:rFonts w:ascii="Calibri" w:hAnsi="Calibri"/>
      <w:b w:val="0"/>
      <w:color w:val="000000"/>
      <w:sz w:val="22"/>
    </w:rPr>
  </w:style>
  <w:style w:type="paragraph" w:styleId="ListContinue3">
    <w:name w:val="List Continue 3"/>
    <w:basedOn w:val="Normal"/>
    <w:uiPriority w:val="99"/>
    <w:unhideWhenUsed/>
    <w:rsid w:val="0029639D"/>
    <w:pPr>
      <w:widowControl/>
      <w:spacing w:after="200" w:before="0" w:line="240" w:lineRule="auto"/>
      <w:ind w:left="1080"/>
      <w:contextualSpacing/>
      <w:jc w:val="left"/>
    </w:pPr>
    <w:rPr>
      <w:rFonts w:ascii="Calibri" w:hAnsi="Calibri"/>
      <w:b w:val="0"/>
      <w:color w:val="000000"/>
      <w:sz w:val="22"/>
    </w:rPr>
  </w:style>
  <w:style w:type="paragraph" w:styleId="MacroText">
    <w:name w:val="macro"/>
    <w:link w:val="MacroTextChar"/>
    <w:uiPriority w:val="99"/>
    <w:unhideWhenUsed/>
    <w:rsid w:val="0029639D"/>
    <w:pPr>
      <w:widowControl/>
      <w:tabs>
        <w:tab w:val="left" w:pos="576"/>
        <w:tab w:val="left" w:pos="1152"/>
        <w:tab w:val="left" w:pos="1728"/>
        <w:tab w:val="left" w:pos="2304"/>
        <w:tab w:val="left" w:pos="2880"/>
        <w:tab w:val="left" w:pos="3456"/>
        <w:tab w:val="left" w:pos="4032"/>
      </w:tabs>
      <w:spacing w:before="0" w:after="200" w:line="240" w:lineRule="auto"/>
      <w:jc w:val="left"/>
    </w:pPr>
    <w:rPr>
      <w:rFonts w:ascii="Calibri" w:hAnsi="Calibri"/>
      <w:b w:val="0"/>
      <w:color w:val="000000"/>
      <w:sz w:val="22"/>
      <w:szCs w:val="20"/>
    </w:rPr>
  </w:style>
  <w:style w:type="character" w:customStyle="1" w:styleId="MacroTextChar">
    <w:name w:val="Macro Text Char"/>
    <w:basedOn w:val="DefaultParagraphFont"/>
    <w:link w:val="MacroText"/>
    <w:uiPriority w:val="99"/>
    <w:rsid w:val="0029639D"/>
    <w:rPr>
      <w:rFonts w:ascii="Calibri" w:hAnsi="Calibri"/>
      <w:b w:val="0"/>
      <w:color w:val="000000"/>
      <w:sz w:val="22"/>
      <w:szCs w:val="20"/>
    </w:rPr>
  </w:style>
  <w:style w:type="paragraph" w:styleId="Quote">
    <w:name w:val="Quote"/>
    <w:basedOn w:val="Normal"/>
    <w:next w:val="Normal"/>
    <w:link w:val="QuoteChar"/>
    <w:uiPriority w:val="29"/>
    <w:qFormat/>
    <w:rsid w:val="00FC693F"/>
    <w:pPr>
      <w:widowControl/>
      <w:spacing w:before="0" w:after="200" w:line="240" w:lineRule="auto"/>
      <w:jc w:val="left"/>
    </w:pPr>
    <w:rPr>
      <w:rFonts w:ascii="Calibri" w:hAnsi="Calibri"/>
      <w:b w:val="0"/>
      <w:i/>
      <w:iCs/>
      <w:color w:val="000000"/>
      <w:sz w:val="22"/>
    </w:rPr>
  </w:style>
  <w:style w:type="character" w:customStyle="1" w:styleId="QuoteChar">
    <w:name w:val="Quote Char"/>
    <w:basedOn w:val="DefaultParagraphFont"/>
    <w:link w:val="Quote"/>
    <w:uiPriority w:val="29"/>
    <w:rsid w:val="00FC693F"/>
    <w:rPr>
      <w:rFonts w:ascii="Calibri" w:hAnsi="Calibri"/>
      <w:b w:val="0"/>
      <w:i/>
      <w:iCs/>
      <w:color w:val="000000"/>
      <w:sz w:val="22"/>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val="0"/>
      <w:bCs/>
      <w:i/>
      <w:iCs/>
      <w:color w:val="000000"/>
      <w:sz w:val="22"/>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b w:val="0"/>
      <w:color w:val="000000"/>
      <w:sz w:val="22"/>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b w:val="0"/>
      <w:i/>
      <w:iCs/>
      <w:color w:val="000000"/>
      <w:sz w:val="22"/>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b w:val="0"/>
      <w:i/>
      <w:iCs/>
      <w:color w:val="000000"/>
      <w:sz w:val="22"/>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b w:val="0"/>
      <w:color w:val="000000"/>
      <w:sz w:val="22"/>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b w:val="0"/>
      <w:i/>
      <w:iCs/>
      <w:color w:val="000000"/>
      <w:sz w:val="22"/>
      <w:szCs w:val="20"/>
    </w:rPr>
  </w:style>
  <w:style w:type="paragraph" w:styleId="Caption">
    <w:name w:val="caption"/>
    <w:basedOn w:val="Normal"/>
    <w:next w:val="Normal"/>
    <w:uiPriority w:val="35"/>
    <w:semiHidden/>
    <w:unhideWhenUsed/>
    <w:qFormat/>
    <w:rsid w:val="00FC693F"/>
    <w:pPr>
      <w:widowControl/>
      <w:spacing w:line="240" w:lineRule="auto" w:before="0" w:after="200"/>
      <w:jc w:val="left"/>
    </w:pPr>
    <w:rPr>
      <w:rFonts w:ascii="Calibri" w:hAnsi="Calibri"/>
      <w:b w:val="0"/>
      <w:bCs/>
      <w:color w:val="000000"/>
      <w:sz w:val="22"/>
      <w:szCs w:val="18"/>
    </w:rPr>
  </w:style>
  <w:style w:type="character" w:styleId="Strong">
    <w:name w:val="Strong"/>
    <w:basedOn w:val="DefaultParagraphFont"/>
    <w:uiPriority w:val="22"/>
    <w:qFormat/>
    <w:rsid w:val="00FC693F"/>
    <w:rPr>
      <w:rFonts w:ascii="Calibri" w:hAnsi="Calibri"/>
      <w:b w:val="0"/>
      <w:bCs/>
      <w:color w:val="000000"/>
      <w:sz w:val="22"/>
    </w:rPr>
  </w:style>
  <w:style w:type="character" w:styleId="Emphasis">
    <w:name w:val="Emphasis"/>
    <w:basedOn w:val="DefaultParagraphFont"/>
    <w:uiPriority w:val="20"/>
    <w:qFormat/>
    <w:rsid w:val="00FC693F"/>
    <w:rPr>
      <w:rFonts w:ascii="Calibri" w:hAnsi="Calibri"/>
      <w:b w:val="0"/>
      <w:i/>
      <w:iCs/>
      <w:color w:val="000000"/>
      <w:sz w:val="22"/>
    </w:rPr>
  </w:style>
  <w:style w:type="paragraph" w:styleId="IntenseQuote">
    <w:name w:val="Intense Quote"/>
    <w:basedOn w:val="Normal"/>
    <w:next w:val="Normal"/>
    <w:link w:val="IntenseQuoteChar"/>
    <w:uiPriority w:val="30"/>
    <w:qFormat/>
    <w:rsid w:val="00FC693F"/>
    <w:pPr>
      <w:widowControl/>
      <w:spacing w:before="0" w:after="200" w:line="240" w:lineRule="auto"/>
      <w:ind w:left="936" w:right="936"/>
      <w:jc w:val="left"/>
    </w:pPr>
    <w:rPr>
      <w:rFonts w:ascii="Calibri" w:hAnsi="Calibri"/>
      <w:b w:val="0"/>
      <w:bCs/>
      <w:i/>
      <w:iCs/>
      <w:color w:val="000000"/>
      <w:sz w:val="22"/>
    </w:rPr>
  </w:style>
  <w:style w:type="character" w:customStyle="1" w:styleId="IntenseQuoteChar">
    <w:name w:val="Intense Quote Char"/>
    <w:basedOn w:val="DefaultParagraphFont"/>
    <w:link w:val="IntenseQuote"/>
    <w:uiPriority w:val="30"/>
    <w:rsid w:val="00FC693F"/>
    <w:rPr>
      <w:rFonts w:ascii="Calibri" w:hAnsi="Calibri"/>
      <w:b w:val="0"/>
      <w:bCs/>
      <w:i/>
      <w:iCs/>
      <w:color w:val="000000"/>
      <w:sz w:val="22"/>
    </w:rPr>
  </w:style>
  <w:style w:type="character" w:styleId="SubtleEmphasis">
    <w:name w:val="Subtle Emphasis"/>
    <w:basedOn w:val="DefaultParagraphFont"/>
    <w:uiPriority w:val="19"/>
    <w:qFormat/>
    <w:rsid w:val="00FC693F"/>
    <w:rPr>
      <w:rFonts w:ascii="Calibri" w:hAnsi="Calibri"/>
      <w:b w:val="0"/>
      <w:i/>
      <w:iCs/>
      <w:color w:val="000000"/>
      <w:sz w:val="22"/>
    </w:rPr>
  </w:style>
  <w:style w:type="character" w:styleId="IntenseEmphasis">
    <w:name w:val="Intense Emphasis"/>
    <w:basedOn w:val="DefaultParagraphFont"/>
    <w:uiPriority w:val="21"/>
    <w:qFormat/>
    <w:rsid w:val="00FC693F"/>
    <w:rPr>
      <w:rFonts w:ascii="Calibri" w:hAnsi="Calibri"/>
      <w:b w:val="0"/>
      <w:bCs/>
      <w:i/>
      <w:iCs/>
      <w:color w:val="000000"/>
      <w:sz w:val="22"/>
    </w:rPr>
  </w:style>
  <w:style w:type="character" w:styleId="SubtleReference">
    <w:name w:val="Subtle Reference"/>
    <w:basedOn w:val="DefaultParagraphFont"/>
    <w:uiPriority w:val="31"/>
    <w:qFormat/>
    <w:rsid w:val="00FC693F"/>
    <w:rPr>
      <w:rFonts w:ascii="Calibri" w:hAnsi="Calibri"/>
      <w:b w:val="0"/>
      <w:smallCaps/>
      <w:color w:val="000000"/>
      <w:sz w:val="22"/>
      <w:u w:val="single"/>
    </w:rPr>
  </w:style>
  <w:style w:type="character" w:styleId="IntenseReference">
    <w:name w:val="Intense Reference"/>
    <w:basedOn w:val="DefaultParagraphFont"/>
    <w:uiPriority w:val="32"/>
    <w:qFormat/>
    <w:rsid w:val="00FC693F"/>
    <w:rPr>
      <w:rFonts w:ascii="Calibri" w:hAnsi="Calibri"/>
      <w:b w:val="0"/>
      <w:bCs/>
      <w:smallCaps/>
      <w:color w:val="000000"/>
      <w:spacing w:val="5"/>
      <w:sz w:val="22"/>
      <w:u w:val="single"/>
    </w:rPr>
  </w:style>
  <w:style w:type="character" w:styleId="BookTitle">
    <w:name w:val="Book Title"/>
    <w:basedOn w:val="DefaultParagraphFont"/>
    <w:uiPriority w:val="33"/>
    <w:qFormat/>
    <w:rsid w:val="00FC693F"/>
    <w:rPr>
      <w:rFonts w:ascii="Calibri" w:hAnsi="Calibri"/>
      <w:b w:val="0"/>
      <w:bCs/>
      <w:smallCaps/>
      <w:color w:val="000000"/>
      <w:spacing w:val="5"/>
      <w:sz w:val="22"/>
    </w:rPr>
  </w:style>
  <w:style w:type="paragraph" w:styleId="TOCHeading">
    <w:name w:val="TOC Heading"/>
    <w:basedOn w:val="Heading1"/>
    <w:next w:val="Normal"/>
    <w:uiPriority w:val="39"/>
    <w:semiHidden/>
    <w:unhideWhenUsed/>
    <w:qFormat/>
    <w:rsid w:val="00FC693F"/>
    <w:pPr>
      <w:widowControl/>
      <w:spacing w:before="0" w:after="200" w:line="240" w:lineRule="auto"/>
      <w:jc w:val="left"/>
      <w:outlineLvl w:val="9"/>
    </w:pPr>
    <w:rPr>
      <w:rFonts w:ascii="Calibri" w:hAnsi="Calibri"/>
      <w:b w:val="0"/>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9" Type="http://schemas.openxmlformats.org/officeDocument/2006/relationships/hyperlink" Target="https://www.mydancr.com/dancer-agreement" TargetMode="External"/><Relationship Id="rId10" Type="http://schemas.openxmlformats.org/officeDocument/2006/relationships/hyperlink" Target="https://www.mydancr.com/club-agreement" TargetMode="External"/><Relationship Id="rId11" Type="http://schemas.openxmlformats.org/officeDocument/2006/relationships/hyperlink" Target="https://www.mydancr.com/legal" TargetMode="External"/><Relationship Id="rId12" Type="http://schemas.openxmlformats.org/officeDocument/2006/relationships/hyperlink" Target="https://www.mydancr.com/privacy" TargetMode="External"/><Relationship Id="rId13" Type="http://schemas.openxmlformats.org/officeDocument/2006/relationships/hyperlink" Target="mailto:support@mydancr.com" TargetMode="External"/><Relationship Id="rId14" Type="http://schemas.openxmlformats.org/officeDocument/2006/relationships/hyperlink" Target="https://www.mydancr.com/dmca" TargetMode="External"/><Relationship Id="rId15" Type="http://schemas.openxmlformats.org/officeDocument/2006/relationships/hyperlink" Target="https://www.namadr.com/resources/rules-fees-forms/" TargetMode="External"/><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