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5A0A" w14:textId="77777777" w:rsidR="00932490" w:rsidRPr="00932490" w:rsidRDefault="00932490" w:rsidP="0093249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bookmarkStart w:id="0" w:name="_Toc95125536"/>
      <w:r w:rsidRPr="00932490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TAD</w:t>
      </w:r>
      <w:bookmarkEnd w:id="0"/>
    </w:p>
    <w:p w14:paraId="35496687" w14:textId="76C6CFD5" w:rsidR="00932490" w:rsidRDefault="00932490" w:rsidP="0093249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bookmarkStart w:id="1" w:name="_Toc95125537"/>
      <w:r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TOC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458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A41B97" w14:textId="3F4F0D74" w:rsidR="00932490" w:rsidRDefault="00932490">
          <w:pPr>
            <w:pStyle w:val="TOCHeading"/>
          </w:pPr>
          <w:r>
            <w:t>Contents</w:t>
          </w:r>
        </w:p>
        <w:p w14:paraId="6324ED77" w14:textId="108CE561" w:rsidR="00932490" w:rsidRDefault="0093249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25536" w:history="1">
            <w:r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36"/>
              </w:rPr>
              <w:t>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CC91" w14:textId="251A4A41" w:rsidR="00932490" w:rsidRDefault="00554BD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95125537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TOC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_Toc95125537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1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71D2A473" w14:textId="2A666F62" w:rsidR="00932490" w:rsidRDefault="00554BD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95125538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About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_Toc95125538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1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38FBBE72" w14:textId="7AF922BD" w:rsidR="00932490" w:rsidRDefault="00554BD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95125539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Metrics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_Toc95125539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1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2CC60032" w14:textId="7D1BF47B" w:rsidR="00932490" w:rsidRDefault="00554BD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95125540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Demo setup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_Toc95125540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2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43023D67" w14:textId="7AEE6EAF" w:rsidR="00932490" w:rsidRDefault="00554BD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95125541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The results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_Toc95125541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4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47FA7DF2" w14:textId="189C3390" w:rsidR="00932490" w:rsidRDefault="00554BD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95125542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General feedback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_Toc95125542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4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6FBE8B79" w14:textId="5E3C8C01" w:rsidR="00932490" w:rsidRDefault="00554BD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95125543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IS1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_Toc95125543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4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7BF983A2" w14:textId="06804BEB" w:rsidR="00932490" w:rsidRDefault="00554BD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95125544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IS2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_Toc95125544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5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2E3BE699" w14:textId="1972DF30" w:rsidR="00932490" w:rsidRDefault="00554BD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95125545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IS3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_Toc95125545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6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4B0A4217" w14:textId="46C9AA15" w:rsidR="00932490" w:rsidRDefault="00554BD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95125546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An external example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_Toc95125546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7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63964345" w14:textId="1695A316" w:rsidR="00932490" w:rsidRDefault="00554BD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95125547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Conclusion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_Toc95125547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8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169FA2E2" w14:textId="1084E9C8" w:rsidR="00932490" w:rsidRDefault="00554BD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95125548" w:history="1">
            <w:r w:rsidR="00932490" w:rsidRPr="0092662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More information</w:t>
            </w:r>
            <w:r w:rsidR="00932490">
              <w:rPr>
                <w:noProof/>
                <w:webHidden/>
              </w:rPr>
              <w:tab/>
            </w:r>
            <w:r w:rsidR="00932490">
              <w:rPr>
                <w:noProof/>
                <w:webHidden/>
              </w:rPr>
              <w:fldChar w:fldCharType="begin"/>
            </w:r>
            <w:r w:rsidR="00932490">
              <w:rPr>
                <w:noProof/>
                <w:webHidden/>
              </w:rPr>
              <w:instrText xml:space="preserve"> PAGEREF _Toc95125548 \h </w:instrText>
            </w:r>
            <w:r w:rsidR="00932490">
              <w:rPr>
                <w:noProof/>
                <w:webHidden/>
              </w:rPr>
            </w:r>
            <w:r w:rsidR="00932490">
              <w:rPr>
                <w:noProof/>
                <w:webHidden/>
              </w:rPr>
              <w:fldChar w:fldCharType="separate"/>
            </w:r>
            <w:r w:rsidR="00932490">
              <w:rPr>
                <w:noProof/>
                <w:webHidden/>
              </w:rPr>
              <w:t>8</w:t>
            </w:r>
            <w:r w:rsidR="00932490">
              <w:rPr>
                <w:noProof/>
                <w:webHidden/>
              </w:rPr>
              <w:fldChar w:fldCharType="end"/>
            </w:r>
          </w:hyperlink>
        </w:p>
        <w:p w14:paraId="40C3656B" w14:textId="560956AD" w:rsidR="00932490" w:rsidRDefault="00932490">
          <w:r>
            <w:rPr>
              <w:b/>
              <w:bCs/>
              <w:noProof/>
            </w:rPr>
            <w:fldChar w:fldCharType="end"/>
          </w:r>
        </w:p>
      </w:sdtContent>
    </w:sdt>
    <w:p w14:paraId="00FFFF6E" w14:textId="77777777" w:rsidR="00932490" w:rsidRDefault="00932490" w:rsidP="00554BDE"/>
    <w:p w14:paraId="55388A3C" w14:textId="77777777" w:rsidR="00932490" w:rsidRDefault="00932490" w:rsidP="00554BDE"/>
    <w:p w14:paraId="231D03AE" w14:textId="77F6E192" w:rsidR="00932490" w:rsidRPr="00932490" w:rsidRDefault="00932490" w:rsidP="0093249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bookmarkStart w:id="2" w:name="_Toc95125538"/>
      <w:r w:rsidRPr="0093249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About</w:t>
      </w:r>
      <w:bookmarkEnd w:id="2"/>
    </w:p>
    <w:p w14:paraId="2B230015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78C6DF3F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The Transformation Advisor tool (TA for short) is a program that comes with the ACE v11 and v12 installation.</w:t>
      </w:r>
    </w:p>
    <w:p w14:paraId="006F67E1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It takes your old (v10) sources, launches a standalone container, deploys the sources and matches the result against a set of rules, to determine if any actions need to be taken before migrating to ACE.</w:t>
      </w:r>
    </w:p>
    <w:p w14:paraId="4CF0DD1B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4F5F41C1" w14:textId="260369BD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At the end of the </w:t>
      </w:r>
      <w:r w:rsidR="00813F4F" w:rsidRPr="00932490">
        <w:rPr>
          <w:rFonts w:ascii="Calibri" w:eastAsia="Times New Roman" w:hAnsi="Calibri" w:cs="Calibri"/>
        </w:rPr>
        <w:t>report,</w:t>
      </w:r>
      <w:r w:rsidRPr="00932490">
        <w:rPr>
          <w:rFonts w:ascii="Calibri" w:eastAsia="Times New Roman" w:hAnsi="Calibri" w:cs="Calibri"/>
        </w:rPr>
        <w:t xml:space="preserve"> you </w:t>
      </w:r>
      <w:r w:rsidRPr="00932490">
        <w:rPr>
          <w:rFonts w:ascii="Calibri" w:eastAsia="Times New Roman" w:hAnsi="Calibri" w:cs="Calibri"/>
          <w:i/>
          <w:iCs/>
        </w:rPr>
        <w:t>should</w:t>
      </w:r>
      <w:r w:rsidRPr="00932490">
        <w:rPr>
          <w:rFonts w:ascii="Calibri" w:eastAsia="Times New Roman" w:hAnsi="Calibri" w:cs="Calibri"/>
        </w:rPr>
        <w:t xml:space="preserve"> also get a rough estimate on how long it should take you to mitigate complex issues (however, this estimate did not show up in my demo but that might be because I did not have any red severities)</w:t>
      </w:r>
    </w:p>
    <w:p w14:paraId="146A7277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52B6018B" w14:textId="7B0AF8B2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Remember that TA will compare your setup to a container setup. If you plan on running node-managed, a lot of the suggestions don't apply but they are interesting should</w:t>
      </w:r>
      <w:r w:rsidR="00813F4F">
        <w:rPr>
          <w:rFonts w:ascii="Calibri" w:eastAsia="Times New Roman" w:hAnsi="Calibri" w:cs="Calibri"/>
        </w:rPr>
        <w:t xml:space="preserve"> you consider using</w:t>
      </w:r>
      <w:r w:rsidR="005D1BF0">
        <w:rPr>
          <w:rFonts w:ascii="Calibri" w:eastAsia="Times New Roman" w:hAnsi="Calibri" w:cs="Calibri"/>
        </w:rPr>
        <w:t xml:space="preserve"> the</w:t>
      </w:r>
      <w:r w:rsidRPr="00932490">
        <w:rPr>
          <w:rFonts w:ascii="Calibri" w:eastAsia="Times New Roman" w:hAnsi="Calibri" w:cs="Calibri"/>
        </w:rPr>
        <w:t xml:space="preserve"> containers/cloud</w:t>
      </w:r>
      <w:r w:rsidR="005D1BF0">
        <w:rPr>
          <w:rFonts w:ascii="Calibri" w:eastAsia="Times New Roman" w:hAnsi="Calibri" w:cs="Calibri"/>
        </w:rPr>
        <w:t xml:space="preserve"> setup</w:t>
      </w:r>
      <w:r w:rsidRPr="00932490">
        <w:rPr>
          <w:rFonts w:ascii="Calibri" w:eastAsia="Times New Roman" w:hAnsi="Calibri" w:cs="Calibri"/>
        </w:rPr>
        <w:t>.</w:t>
      </w:r>
    </w:p>
    <w:p w14:paraId="2B6601D2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0360A458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Since the TA needs to start from your v10 sources, you have 2 options</w:t>
      </w:r>
    </w:p>
    <w:p w14:paraId="2D8D6949" w14:textId="3282AC62" w:rsidR="00932490" w:rsidRPr="00932490" w:rsidRDefault="00932490" w:rsidP="0093249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Backup </w:t>
      </w:r>
      <w:r w:rsidR="005D1BF0">
        <w:rPr>
          <w:rFonts w:ascii="Calibri" w:eastAsia="Times New Roman" w:hAnsi="Calibri" w:cs="Calibri"/>
        </w:rPr>
        <w:t>the</w:t>
      </w:r>
      <w:r w:rsidRPr="00932490">
        <w:rPr>
          <w:rFonts w:ascii="Calibri" w:eastAsia="Times New Roman" w:hAnsi="Calibri" w:cs="Calibri"/>
        </w:rPr>
        <w:t xml:space="preserve"> existing v10 node and supply the backup file</w:t>
      </w:r>
    </w:p>
    <w:p w14:paraId="250CDA88" w14:textId="77777777" w:rsidR="00932490" w:rsidRPr="00932490" w:rsidRDefault="00932490" w:rsidP="0093249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Create a bar file with flows/applications you want to check</w:t>
      </w:r>
    </w:p>
    <w:p w14:paraId="7928520B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1AE06A82" w14:textId="09EF8E2B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The most useful scenario would be to start from a backup of </w:t>
      </w:r>
      <w:r w:rsidR="00497B77" w:rsidRPr="00932490">
        <w:rPr>
          <w:rFonts w:ascii="Calibri" w:eastAsia="Times New Roman" w:hAnsi="Calibri" w:cs="Calibri"/>
        </w:rPr>
        <w:t>the</w:t>
      </w:r>
      <w:r w:rsidRPr="00932490">
        <w:rPr>
          <w:rFonts w:ascii="Calibri" w:eastAsia="Times New Roman" w:hAnsi="Calibri" w:cs="Calibri"/>
        </w:rPr>
        <w:t xml:space="preserve"> current running system, and that is what I did in the demo.</w:t>
      </w:r>
    </w:p>
    <w:p w14:paraId="2E62B01B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1B0ABC1A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05DEDF15" w14:textId="77777777" w:rsidR="00932490" w:rsidRPr="00932490" w:rsidRDefault="00932490" w:rsidP="0093249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bookmarkStart w:id="3" w:name="_Toc95125539"/>
      <w:r w:rsidRPr="0093249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Metrics</w:t>
      </w:r>
      <w:bookmarkEnd w:id="3"/>
    </w:p>
    <w:p w14:paraId="5220CD7E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The TA tool collects and assesses the supplied data and pours the result into an html report.</w:t>
      </w:r>
    </w:p>
    <w:p w14:paraId="4F7842B3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53A3A465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TA uses 2 metrics to weigh any issues it finds: Complexity and Severity Classification.</w:t>
      </w:r>
    </w:p>
    <w:p w14:paraId="47E68896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9"/>
        <w:gridCol w:w="6483"/>
      </w:tblGrid>
      <w:tr w:rsidR="00932490" w:rsidRPr="00932490" w14:paraId="011718D8" w14:textId="77777777" w:rsidTr="00932490"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0E0E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2D0C9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92929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b/>
                <w:bCs/>
                <w:color w:val="292929"/>
                <w:sz w:val="24"/>
                <w:szCs w:val="24"/>
              </w:rPr>
              <w:t>Complexity</w:t>
            </w:r>
          </w:p>
        </w:tc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0E0E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E0973E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92929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b/>
                <w:bCs/>
                <w:color w:val="292929"/>
                <w:sz w:val="24"/>
                <w:szCs w:val="24"/>
              </w:rPr>
              <w:t>Action</w:t>
            </w:r>
          </w:p>
        </w:tc>
      </w:tr>
      <w:tr w:rsidR="00932490" w:rsidRPr="00932490" w14:paraId="0A2270FA" w14:textId="77777777" w:rsidTr="00932490">
        <w:tc>
          <w:tcPr>
            <w:tcW w:w="1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0B87C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Simple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5258B8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Admin change is required.</w:t>
            </w:r>
          </w:p>
        </w:tc>
      </w:tr>
      <w:tr w:rsidR="00932490" w:rsidRPr="00932490" w14:paraId="22E8B62A" w14:textId="77777777" w:rsidTr="00932490">
        <w:tc>
          <w:tcPr>
            <w:tcW w:w="1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4CA1C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Moderate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A8337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Development change is required.</w:t>
            </w:r>
          </w:p>
        </w:tc>
      </w:tr>
      <w:tr w:rsidR="00932490" w:rsidRPr="00932490" w14:paraId="7F996992" w14:textId="77777777" w:rsidTr="00932490">
        <w:tc>
          <w:tcPr>
            <w:tcW w:w="1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A13349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Complex</w:t>
            </w:r>
          </w:p>
        </w:tc>
        <w:tc>
          <w:tcPr>
            <w:tcW w:w="6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39630B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Difficult development task or an alternative strategy is required.</w:t>
            </w:r>
          </w:p>
        </w:tc>
      </w:tr>
    </w:tbl>
    <w:p w14:paraId="3B73F84E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72"/>
        <w:gridCol w:w="6914"/>
      </w:tblGrid>
      <w:tr w:rsidR="00932490" w:rsidRPr="00932490" w14:paraId="3A3FEEFD" w14:textId="77777777" w:rsidTr="00932490"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0E0E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9A253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92929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b/>
                <w:bCs/>
                <w:color w:val="292929"/>
                <w:sz w:val="24"/>
                <w:szCs w:val="24"/>
              </w:rPr>
              <w:t>Severity Classification</w:t>
            </w:r>
          </w:p>
        </w:tc>
        <w:tc>
          <w:tcPr>
            <w:tcW w:w="6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0E0E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A529C2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92929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b/>
                <w:bCs/>
                <w:color w:val="292929"/>
                <w:sz w:val="24"/>
                <w:szCs w:val="24"/>
              </w:rPr>
              <w:t>Action</w:t>
            </w:r>
          </w:p>
        </w:tc>
      </w:tr>
      <w:tr w:rsidR="00932490" w:rsidRPr="00932490" w14:paraId="2F09145F" w14:textId="77777777" w:rsidTr="00932490"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C02EF6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GREEN (INFO)</w:t>
            </w:r>
          </w:p>
        </w:tc>
        <w:tc>
          <w:tcPr>
            <w:tcW w:w="6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D65F0C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No immediate action is required, but you might want to be aware.</w:t>
            </w:r>
          </w:p>
        </w:tc>
      </w:tr>
      <w:tr w:rsidR="00932490" w:rsidRPr="00932490" w14:paraId="2DB4C93B" w14:textId="77777777" w:rsidTr="00932490"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5F3F28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YELLOW (WARNING)</w:t>
            </w:r>
          </w:p>
        </w:tc>
        <w:tc>
          <w:tcPr>
            <w:tcW w:w="7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068F51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Immediate action is probably required or advised before you proceed.</w:t>
            </w:r>
          </w:p>
        </w:tc>
      </w:tr>
      <w:tr w:rsidR="00932490" w:rsidRPr="00932490" w14:paraId="1B9A4B96" w14:textId="77777777" w:rsidTr="00932490"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9895C2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RED (ERROR)</w:t>
            </w:r>
          </w:p>
        </w:tc>
        <w:tc>
          <w:tcPr>
            <w:tcW w:w="6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5FC3B" w14:textId="77777777" w:rsidR="00932490" w:rsidRPr="00932490" w:rsidRDefault="00932490" w:rsidP="00932490">
            <w:pPr>
              <w:spacing w:after="0" w:line="240" w:lineRule="auto"/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</w:pPr>
            <w:r w:rsidRPr="00932490">
              <w:rPr>
                <w:rFonts w:ascii="inherit" w:eastAsia="Times New Roman" w:hAnsi="inherit" w:cs="Times New Roman"/>
                <w:color w:val="2D2D2D"/>
                <w:sz w:val="24"/>
                <w:szCs w:val="24"/>
              </w:rPr>
              <w:t>You cannot proceed without taking remedial action.</w:t>
            </w:r>
          </w:p>
        </w:tc>
      </w:tr>
    </w:tbl>
    <w:p w14:paraId="09527F8E" w14:textId="77777777" w:rsidR="00932490" w:rsidRPr="00932490" w:rsidRDefault="00932490" w:rsidP="00932490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3CF417B1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These two combined determine the overall complexity and actions you need to take.</w:t>
      </w:r>
    </w:p>
    <w:p w14:paraId="7B3DC879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0C40CEBC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2D47B0AE" w14:textId="77777777" w:rsidR="00932490" w:rsidRPr="00932490" w:rsidRDefault="00932490" w:rsidP="0093249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bookmarkStart w:id="4" w:name="_Toc95125540"/>
      <w:r w:rsidRPr="0093249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Demo setup</w:t>
      </w:r>
      <w:bookmarkEnd w:id="4"/>
    </w:p>
    <w:p w14:paraId="3251C766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I've created a demo setup with some nodes and configurations that requires some attention when moving to ACE. </w:t>
      </w:r>
    </w:p>
    <w:p w14:paraId="065B52C6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78832AAD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The demo consists of 3 Integration Servers with a mix of: </w:t>
      </w:r>
    </w:p>
    <w:p w14:paraId="5B092A41" w14:textId="77777777" w:rsidR="00932490" w:rsidRPr="00932490" w:rsidRDefault="00932490" w:rsidP="0093249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MQ publication node</w:t>
      </w:r>
    </w:p>
    <w:p w14:paraId="09A6DFC0" w14:textId="77777777" w:rsidR="00932490" w:rsidRPr="00932490" w:rsidRDefault="00932490" w:rsidP="0093249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MQ bindings connections</w:t>
      </w:r>
    </w:p>
    <w:p w14:paraId="61E27DF3" w14:textId="77777777" w:rsidR="00932490" w:rsidRPr="00932490" w:rsidRDefault="00932490" w:rsidP="0093249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Local </w:t>
      </w:r>
      <w:proofErr w:type="spellStart"/>
      <w:r w:rsidRPr="00932490">
        <w:rPr>
          <w:rFonts w:ascii="Calibri" w:eastAsia="Times New Roman" w:hAnsi="Calibri" w:cs="Calibri"/>
        </w:rPr>
        <w:t>FileInput</w:t>
      </w:r>
      <w:proofErr w:type="spellEnd"/>
    </w:p>
    <w:p w14:paraId="4906ABC4" w14:textId="77777777" w:rsidR="00932490" w:rsidRPr="00932490" w:rsidRDefault="00932490" w:rsidP="0093249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Standalone resources</w:t>
      </w:r>
    </w:p>
    <w:p w14:paraId="1FF86BE7" w14:textId="77777777" w:rsidR="00932490" w:rsidRPr="00932490" w:rsidRDefault="00932490" w:rsidP="0093249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Non-dynamic policies</w:t>
      </w:r>
    </w:p>
    <w:p w14:paraId="18502D66" w14:textId="77777777" w:rsidR="00932490" w:rsidRPr="00932490" w:rsidRDefault="00932490" w:rsidP="0093249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MRM</w:t>
      </w:r>
    </w:p>
    <w:p w14:paraId="56EA6989" w14:textId="77777777" w:rsidR="00932490" w:rsidRPr="00932490" w:rsidRDefault="00932490" w:rsidP="0093249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Timeout node</w:t>
      </w:r>
    </w:p>
    <w:p w14:paraId="79DF918B" w14:textId="77777777" w:rsidR="00932490" w:rsidRPr="00932490" w:rsidRDefault="00932490" w:rsidP="0093249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Java compute with user defined configurable server</w:t>
      </w:r>
    </w:p>
    <w:p w14:paraId="10DF8D77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6B42CD65" w14:textId="79132D3C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3426BCE4" wp14:editId="68900B6C">
            <wp:extent cx="3678555" cy="8258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7A3F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1834CC15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3C860B95" w14:textId="77777777" w:rsidR="00932490" w:rsidRPr="00932490" w:rsidRDefault="00932490" w:rsidP="0093249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bookmarkStart w:id="5" w:name="_Toc95125541"/>
      <w:r w:rsidRPr="0093249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The results</w:t>
      </w:r>
      <w:bookmarkEnd w:id="5"/>
    </w:p>
    <w:p w14:paraId="7D7737AE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As expected, I got feedback from the TAD that some changes were advised before moving to ACE.</w:t>
      </w:r>
    </w:p>
    <w:p w14:paraId="61A00545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52F71A08" w14:textId="4B2991E6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4D293AA3" wp14:editId="5C15CB6A">
            <wp:extent cx="5972810" cy="10382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894F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7ED684D2" w14:textId="77777777" w:rsidR="00932490" w:rsidRPr="00932490" w:rsidRDefault="00932490" w:rsidP="00554BDE">
      <w:r w:rsidRPr="00932490">
        <w:t> </w:t>
      </w:r>
    </w:p>
    <w:p w14:paraId="06B26680" w14:textId="77777777" w:rsidR="00932490" w:rsidRPr="00932490" w:rsidRDefault="00932490" w:rsidP="00932490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sz w:val="24"/>
          <w:szCs w:val="24"/>
        </w:rPr>
      </w:pPr>
      <w:bookmarkStart w:id="6" w:name="_Toc95125542"/>
      <w:r w:rsidRPr="00932490">
        <w:rPr>
          <w:rFonts w:ascii="Calibri" w:eastAsia="Times New Roman" w:hAnsi="Calibri" w:cs="Calibri"/>
          <w:b/>
          <w:bCs/>
          <w:color w:val="1F3763"/>
          <w:sz w:val="24"/>
          <w:szCs w:val="24"/>
        </w:rPr>
        <w:t>General feedback</w:t>
      </w:r>
      <w:bookmarkEnd w:id="6"/>
    </w:p>
    <w:p w14:paraId="0512F9DF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TA gives you the target it checked against (this is always the same)</w:t>
      </w:r>
    </w:p>
    <w:p w14:paraId="44088A6C" w14:textId="5199EC18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41BB67D1" wp14:editId="18D229CA">
            <wp:extent cx="5972810" cy="73533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23BC" w14:textId="77777777" w:rsidR="00932490" w:rsidRPr="00932490" w:rsidRDefault="00932490" w:rsidP="00554BDE">
      <w:r w:rsidRPr="00932490">
        <w:t> </w:t>
      </w:r>
    </w:p>
    <w:p w14:paraId="716E963F" w14:textId="77777777" w:rsidR="00932490" w:rsidRPr="00932490" w:rsidRDefault="00932490" w:rsidP="00554BDE">
      <w:r w:rsidRPr="00932490">
        <w:t> </w:t>
      </w:r>
    </w:p>
    <w:p w14:paraId="3A86DC82" w14:textId="77777777" w:rsidR="00932490" w:rsidRPr="00932490" w:rsidRDefault="00932490" w:rsidP="00932490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sz w:val="24"/>
          <w:szCs w:val="24"/>
        </w:rPr>
      </w:pPr>
      <w:bookmarkStart w:id="7" w:name="_Toc95125543"/>
      <w:r w:rsidRPr="00932490">
        <w:rPr>
          <w:rFonts w:ascii="Calibri" w:eastAsia="Times New Roman" w:hAnsi="Calibri" w:cs="Calibri"/>
          <w:b/>
          <w:bCs/>
          <w:color w:val="1F3763"/>
          <w:sz w:val="24"/>
          <w:szCs w:val="24"/>
        </w:rPr>
        <w:t>IS1</w:t>
      </w:r>
      <w:bookmarkEnd w:id="7"/>
    </w:p>
    <w:p w14:paraId="62C6372C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For IS1, no actions were required however I got a suggestion</w:t>
      </w:r>
    </w:p>
    <w:p w14:paraId="693F8BEB" w14:textId="2D071313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4D8A8648" wp14:editId="0ACB1C3D">
            <wp:extent cx="5972810" cy="5549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96A7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608B6E2A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600E37DE" w14:textId="09432B44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564E4B53" wp14:editId="05898F17">
            <wp:extent cx="5972810" cy="234188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2E18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492F1E84" w14:textId="6497926E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This states the obvious limitations that have to do with non-dynamic policies. Do keep in mind that configurable services are defined node in IIB v10, so you will g</w:t>
      </w:r>
      <w:r w:rsidR="00497B77">
        <w:rPr>
          <w:rFonts w:ascii="Calibri" w:eastAsia="Times New Roman" w:hAnsi="Calibri" w:cs="Calibri"/>
        </w:rPr>
        <w:t>e</w:t>
      </w:r>
      <w:r w:rsidRPr="00932490">
        <w:rPr>
          <w:rFonts w:ascii="Calibri" w:eastAsia="Times New Roman" w:hAnsi="Calibri" w:cs="Calibri"/>
        </w:rPr>
        <w:t>t this suggestion for all integration servers if one or more non-dynamic policies are present.</w:t>
      </w:r>
    </w:p>
    <w:p w14:paraId="2FB298F4" w14:textId="248CAFFA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Since ACE v12.0.3.0, you can deploy non-dynamic policies whilst triggering an application restart directly from the deploy command. In ACE v11 you can just overwrite the policies directly on </w:t>
      </w:r>
      <w:r w:rsidR="00497B77" w:rsidRPr="00932490">
        <w:rPr>
          <w:rFonts w:ascii="Calibri" w:eastAsia="Times New Roman" w:hAnsi="Calibri" w:cs="Calibri"/>
        </w:rPr>
        <w:t>disk and</w:t>
      </w:r>
      <w:r w:rsidRPr="00932490">
        <w:rPr>
          <w:rFonts w:ascii="Calibri" w:eastAsia="Times New Roman" w:hAnsi="Calibri" w:cs="Calibri"/>
        </w:rPr>
        <w:t xml:space="preserve"> restart the IS to circumvent the deployment issue.</w:t>
      </w:r>
    </w:p>
    <w:p w14:paraId="71A28ACD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03B3C33A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No real actions are needed here.</w:t>
      </w:r>
    </w:p>
    <w:p w14:paraId="22553927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3A7E3FAC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 </w:t>
      </w:r>
    </w:p>
    <w:p w14:paraId="185D6D4C" w14:textId="77777777" w:rsidR="00932490" w:rsidRPr="00932490" w:rsidRDefault="00932490" w:rsidP="00932490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sz w:val="24"/>
          <w:szCs w:val="24"/>
        </w:rPr>
      </w:pPr>
      <w:bookmarkStart w:id="8" w:name="_Toc95125544"/>
      <w:r w:rsidRPr="00932490">
        <w:rPr>
          <w:rFonts w:ascii="Calibri" w:eastAsia="Times New Roman" w:hAnsi="Calibri" w:cs="Calibri"/>
          <w:b/>
          <w:bCs/>
          <w:color w:val="1F3763"/>
          <w:sz w:val="24"/>
          <w:szCs w:val="24"/>
        </w:rPr>
        <w:t>IS2</w:t>
      </w:r>
      <w:bookmarkEnd w:id="8"/>
    </w:p>
    <w:p w14:paraId="5336BED8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For IS2, there are some potential issues and some suggestions: </w:t>
      </w:r>
    </w:p>
    <w:p w14:paraId="7644542F" w14:textId="79697E33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14ACA0D2" wp14:editId="7BB56826">
            <wp:extent cx="5972810" cy="58991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889C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63AB941F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485E6618" w14:textId="1BF9A2EC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3DA260D2" wp14:editId="6ECBD00E">
            <wp:extent cx="5972810" cy="45034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71B8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7C3A9939" w14:textId="745C7492" w:rsidR="00932490" w:rsidRPr="00932490" w:rsidRDefault="00497B77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Again,</w:t>
      </w:r>
      <w:r w:rsidR="00932490" w:rsidRPr="00932490">
        <w:rPr>
          <w:rFonts w:ascii="Calibri" w:eastAsia="Times New Roman" w:hAnsi="Calibri" w:cs="Calibri"/>
        </w:rPr>
        <w:t xml:space="preserve"> no real issues here, the potential issues have to do with the </w:t>
      </w:r>
      <w:r>
        <w:rPr>
          <w:rFonts w:ascii="Calibri" w:eastAsia="Times New Roman" w:hAnsi="Calibri" w:cs="Calibri"/>
        </w:rPr>
        <w:t>QMGR</w:t>
      </w:r>
      <w:r w:rsidR="00932490" w:rsidRPr="00932490">
        <w:rPr>
          <w:rFonts w:ascii="Calibri" w:eastAsia="Times New Roman" w:hAnsi="Calibri" w:cs="Calibri"/>
        </w:rPr>
        <w:t xml:space="preserve"> in binding mode. </w:t>
      </w:r>
    </w:p>
    <w:p w14:paraId="6F1529CC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The suggestions handle with a local file read and with the non-dynamic policy.</w:t>
      </w:r>
    </w:p>
    <w:p w14:paraId="19F16E53" w14:textId="368A9C8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If you migrate this setup to a node managed integration server with a local </w:t>
      </w:r>
      <w:r w:rsidR="00497B77">
        <w:rPr>
          <w:rFonts w:ascii="Calibri" w:eastAsia="Times New Roman" w:hAnsi="Calibri" w:cs="Calibri"/>
        </w:rPr>
        <w:t>QMGR</w:t>
      </w:r>
      <w:r w:rsidRPr="00932490">
        <w:rPr>
          <w:rFonts w:ascii="Calibri" w:eastAsia="Times New Roman" w:hAnsi="Calibri" w:cs="Calibri"/>
        </w:rPr>
        <w:t>, no actions are required.</w:t>
      </w:r>
    </w:p>
    <w:p w14:paraId="5E221954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5D3287AD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768BE1B8" w14:textId="77777777" w:rsidR="00932490" w:rsidRPr="00932490" w:rsidRDefault="00932490" w:rsidP="00932490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sz w:val="24"/>
          <w:szCs w:val="24"/>
        </w:rPr>
      </w:pPr>
      <w:bookmarkStart w:id="9" w:name="_Toc95125545"/>
      <w:r w:rsidRPr="00932490">
        <w:rPr>
          <w:rFonts w:ascii="Calibri" w:eastAsia="Times New Roman" w:hAnsi="Calibri" w:cs="Calibri"/>
          <w:b/>
          <w:bCs/>
          <w:color w:val="1F3763"/>
          <w:sz w:val="24"/>
          <w:szCs w:val="24"/>
        </w:rPr>
        <w:t>IS3</w:t>
      </w:r>
      <w:bookmarkEnd w:id="9"/>
    </w:p>
    <w:p w14:paraId="6F5F42EE" w14:textId="5302A84F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IS3 is the more complex one, it is here that I dumped the standalone message flows and the </w:t>
      </w:r>
      <w:r w:rsidR="00497B77">
        <w:rPr>
          <w:rFonts w:ascii="Calibri" w:eastAsia="Times New Roman" w:hAnsi="Calibri" w:cs="Calibri"/>
        </w:rPr>
        <w:t>MRM</w:t>
      </w:r>
      <w:r w:rsidRPr="00932490">
        <w:rPr>
          <w:rFonts w:ascii="Calibri" w:eastAsia="Times New Roman" w:hAnsi="Calibri" w:cs="Calibri"/>
        </w:rPr>
        <w:t xml:space="preserve"> message set. </w:t>
      </w:r>
    </w:p>
    <w:p w14:paraId="3497A4AA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You have your standard simple issues/suggestions</w:t>
      </w:r>
    </w:p>
    <w:p w14:paraId="3894DF81" w14:textId="780E51C3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19692B89" wp14:editId="52B4AAEE">
            <wp:extent cx="5972810" cy="3714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3839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742CACCF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70EE73B0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But here we also have a moderate and complex topics</w:t>
      </w:r>
    </w:p>
    <w:p w14:paraId="06D915C3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The moderate topics handle the standalone message flows and the need to put them inside an application (or the default application)</w:t>
      </w:r>
    </w:p>
    <w:p w14:paraId="51247FD4" w14:textId="6CA8A106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72B7F90A" wp14:editId="5B1C6DAE">
            <wp:extent cx="5972810" cy="336613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C561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02C8DA28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The complex topic handles the MRM, stating that DFDL is the future. MRM is still supported in ACE but not in shared libraries anymore.</w:t>
      </w:r>
    </w:p>
    <w:p w14:paraId="6E65E1AF" w14:textId="67A060F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16D9DF69" wp14:editId="122D1C39">
            <wp:extent cx="5972810" cy="6718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E4C8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0C48AE24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5B4D5A9E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One thing I am missing here is my java compute node that calls a user defined configurable service. In ACE the code to call a UDP has changed, so it is a shame that part is not showing here.</w:t>
      </w:r>
    </w:p>
    <w:p w14:paraId="419A3A70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54C0A8C3" w14:textId="77777777" w:rsidR="00932490" w:rsidRPr="00932490" w:rsidRDefault="00932490" w:rsidP="0093249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bookmarkStart w:id="10" w:name="_Toc95125546"/>
      <w:r w:rsidRPr="0093249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An external example</w:t>
      </w:r>
      <w:bookmarkEnd w:id="10"/>
    </w:p>
    <w:p w14:paraId="7E172504" w14:textId="1EDDF873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Just to show you what a RED severity looks like, on the IBM </w:t>
      </w:r>
      <w:r w:rsidR="00497B77" w:rsidRPr="00932490">
        <w:rPr>
          <w:rFonts w:ascii="Calibri" w:eastAsia="Times New Roman" w:hAnsi="Calibri" w:cs="Calibri"/>
        </w:rPr>
        <w:t>documentation</w:t>
      </w:r>
      <w:r w:rsidRPr="00932490">
        <w:rPr>
          <w:rFonts w:ascii="Calibri" w:eastAsia="Times New Roman" w:hAnsi="Calibri" w:cs="Calibri"/>
        </w:rPr>
        <w:t xml:space="preserve"> page there is the output for a .Net node, stating that this is not supported in containers.</w:t>
      </w:r>
    </w:p>
    <w:p w14:paraId="58F40509" w14:textId="750AE15A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noProof/>
        </w:rPr>
        <w:drawing>
          <wp:inline distT="0" distB="0" distL="0" distR="0" wp14:anchorId="3F5C6C7A" wp14:editId="2AD97FDC">
            <wp:extent cx="5972810" cy="32981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0A68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4605ECFB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6C6131AC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67BB812D" w14:textId="77777777" w:rsidR="00932490" w:rsidRPr="00932490" w:rsidRDefault="00932490" w:rsidP="0093249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bookmarkStart w:id="11" w:name="_Toc95125547"/>
      <w:r w:rsidRPr="0093249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Conclusion</w:t>
      </w:r>
      <w:bookmarkEnd w:id="11"/>
    </w:p>
    <w:p w14:paraId="1F57988E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Is the output from the Transformation advisor to be considered as your go-to oracle? No.</w:t>
      </w:r>
    </w:p>
    <w:p w14:paraId="7E844710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33A73BF5" w14:textId="312F58F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However, let me refine and </w:t>
      </w:r>
      <w:r w:rsidR="00497B77" w:rsidRPr="00932490">
        <w:rPr>
          <w:rFonts w:ascii="Calibri" w:eastAsia="Times New Roman" w:hAnsi="Calibri" w:cs="Calibri"/>
        </w:rPr>
        <w:t>explain</w:t>
      </w:r>
      <w:r w:rsidRPr="00932490">
        <w:rPr>
          <w:rFonts w:ascii="Calibri" w:eastAsia="Times New Roman" w:hAnsi="Calibri" w:cs="Calibri"/>
        </w:rPr>
        <w:t xml:space="preserve"> that "No".</w:t>
      </w:r>
    </w:p>
    <w:p w14:paraId="31B3E552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5D7140EC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Depending on how you plan on using your ACE installation, some of these issues are important. For containers or cloud a lot of these do make sense and need to be handles. If you keep running node-managed, most of the issues can be ignored and can be considered as warnings or good-to-know.</w:t>
      </w:r>
    </w:p>
    <w:p w14:paraId="5CD4782C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5E13130A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If you run an extract migration, you can also get the RED and COMPLEX issues from the log and output files, but they won't be as nicely formatted.</w:t>
      </w:r>
    </w:p>
    <w:p w14:paraId="1CCE456B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3049EB18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In my opinion this still is a nice tool for a quick environment analysis. </w:t>
      </w:r>
    </w:p>
    <w:p w14:paraId="1ECCCDAA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And it pretty prints and organizes the issues for less tech savvy people.</w:t>
      </w:r>
    </w:p>
    <w:p w14:paraId="31FAB359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79BF26D5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3541C0DA" w14:textId="77777777" w:rsidR="00932490" w:rsidRPr="00932490" w:rsidRDefault="00932490" w:rsidP="0093249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bookmarkStart w:id="12" w:name="_Toc95125548"/>
      <w:r w:rsidRPr="0093249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More information</w:t>
      </w:r>
      <w:bookmarkEnd w:id="12"/>
    </w:p>
    <w:p w14:paraId="36902E42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Running the Transformation Advisor tool: </w:t>
      </w:r>
      <w:hyperlink r:id="rId17" w:history="1">
        <w:r w:rsidRPr="00932490">
          <w:rPr>
            <w:rFonts w:ascii="Calibri" w:eastAsia="Times New Roman" w:hAnsi="Calibri" w:cs="Calibri"/>
            <w:color w:val="0000FF"/>
            <w:u w:val="single"/>
          </w:rPr>
          <w:t>https://www.ibm.com/docs/en/app-connect/11.0.0?topic=tasks-running-transformation-advisor-tool</w:t>
        </w:r>
      </w:hyperlink>
    </w:p>
    <w:p w14:paraId="544B6341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 xml:space="preserve">Rules for the Transformation Advisor tool: </w:t>
      </w:r>
      <w:hyperlink r:id="rId18" w:history="1">
        <w:r w:rsidRPr="00932490">
          <w:rPr>
            <w:rFonts w:ascii="Calibri" w:eastAsia="Times New Roman" w:hAnsi="Calibri" w:cs="Calibri"/>
            <w:color w:val="0000FF"/>
            <w:u w:val="single"/>
          </w:rPr>
          <w:t>https://www.ibm.com/docs/en/app-connect/11.0.0?topic=tasks-rules-transformation-advisor-tool</w:t>
        </w:r>
      </w:hyperlink>
    </w:p>
    <w:p w14:paraId="6B2BA72D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The demo and output used and generated above :</w:t>
      </w:r>
    </w:p>
    <w:p w14:paraId="04B95F24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</w:rPr>
      </w:pPr>
      <w:r w:rsidRPr="00932490">
        <w:rPr>
          <w:rFonts w:ascii="Calibri" w:eastAsia="Times New Roman" w:hAnsi="Calibri" w:cs="Calibri"/>
        </w:rPr>
        <w:t> </w:t>
      </w:r>
    </w:p>
    <w:p w14:paraId="568389DF" w14:textId="77777777" w:rsidR="00932490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lang w:val="nl-BE"/>
        </w:rPr>
        <w:t>&lt;&lt;TADOutput.7z&gt;&gt;</w:t>
      </w:r>
    </w:p>
    <w:p w14:paraId="56CB81BA" w14:textId="0DD62203" w:rsidR="00554BDE" w:rsidRPr="00932490" w:rsidRDefault="00932490" w:rsidP="00932490">
      <w:pPr>
        <w:spacing w:after="0" w:line="240" w:lineRule="auto"/>
        <w:rPr>
          <w:rFonts w:ascii="Calibri" w:eastAsia="Times New Roman" w:hAnsi="Calibri" w:cs="Calibri"/>
          <w:lang w:val="nl-BE"/>
        </w:rPr>
      </w:pPr>
      <w:r w:rsidRPr="00932490">
        <w:rPr>
          <w:rFonts w:ascii="Calibri" w:eastAsia="Times New Roman" w:hAnsi="Calibri" w:cs="Calibri"/>
          <w:lang w:val="nl-BE"/>
        </w:rPr>
        <w:t>&lt;&lt;Demo.zip&gt;&gt;</w:t>
      </w:r>
    </w:p>
    <w:sectPr w:rsidR="00554BDE" w:rsidRPr="009324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2541"/>
    <w:multiLevelType w:val="multilevel"/>
    <w:tmpl w:val="EEE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571A5"/>
    <w:multiLevelType w:val="multilevel"/>
    <w:tmpl w:val="2EB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8032718">
    <w:abstractNumId w:val="1"/>
  </w:num>
  <w:num w:numId="2" w16cid:durableId="65156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90"/>
    <w:rsid w:val="002F4851"/>
    <w:rsid w:val="0042488A"/>
    <w:rsid w:val="00497B77"/>
    <w:rsid w:val="0051657D"/>
    <w:rsid w:val="00554BDE"/>
    <w:rsid w:val="00584D04"/>
    <w:rsid w:val="005D1BF0"/>
    <w:rsid w:val="006711C1"/>
    <w:rsid w:val="00813F4F"/>
    <w:rsid w:val="00932490"/>
    <w:rsid w:val="00E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D2AF8"/>
  <w15:chartTrackingRefBased/>
  <w15:docId w15:val="{16BBA508-5BB7-48BC-9649-09DB542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2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2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24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24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24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932490"/>
    <w:rPr>
      <w:i/>
      <w:iCs/>
    </w:rPr>
  </w:style>
  <w:style w:type="character" w:styleId="Hyperlink">
    <w:name w:val="Hyperlink"/>
    <w:basedOn w:val="DefaultParagraphFont"/>
    <w:uiPriority w:val="99"/>
    <w:unhideWhenUsed/>
    <w:rsid w:val="0093249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4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2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2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24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bm.com/docs/en/app-connect/11.0.0?topic=tasks-rules-transformation-advisor-too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ibm.com/docs/en/app-connect/11.0.0?topic=tasks-running-transformation-advisor-too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370A6-A0BD-47FC-8F13-281F8A0E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895</Words>
  <Characters>4503</Characters>
  <Application>Microsoft Office Word</Application>
  <DocSecurity>4</DocSecurity>
  <Lines>181</Lines>
  <Paragraphs>92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Blomme</dc:creator>
  <cp:keywords/>
  <dc:description/>
  <cp:lastModifiedBy>Matthias Blomme</cp:lastModifiedBy>
  <cp:revision>6</cp:revision>
  <dcterms:created xsi:type="dcterms:W3CDTF">2022-02-07T19:23:00Z</dcterms:created>
  <dcterms:modified xsi:type="dcterms:W3CDTF">2024-06-25T23:26:00Z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bd3254e63f246cbbaf571b6776b7bd9d791c85c8916cb5c88af612c4c0cf4581</vt:lpwstr>
  </property>
</Properties>
</file>