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341bu7em88ir" w:id="0"/>
      <w:bookmarkEnd w:id="0"/>
      <w:r w:rsidDel="00000000" w:rsidR="00000000" w:rsidRPr="00000000">
        <w:rPr>
          <w:rtl w:val="0"/>
        </w:rPr>
        <w:t xml:space="preserve">cy3sbml: a Cytoscape app for SBML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20"/>
          <w:szCs w:val="20"/>
          <w:rtl w:val="0"/>
        </w:rPr>
        <w:t xml:space="preserve">Matthias König</w:t>
      </w:r>
      <w:r w:rsidDel="00000000" w:rsidR="00000000" w:rsidRPr="00000000">
        <w:rPr>
          <w:i w:val="1"/>
          <w:sz w:val="20"/>
          <w:szCs w:val="20"/>
          <w:vertAlign w:val="superscript"/>
          <w:rtl w:val="0"/>
        </w:rPr>
        <w:t xml:space="preserve">1,*</w:t>
      </w:r>
      <w:r w:rsidDel="00000000" w:rsidR="00000000" w:rsidRPr="00000000">
        <w:rPr>
          <w:i w:val="1"/>
          <w:sz w:val="20"/>
          <w:szCs w:val="20"/>
          <w:rtl w:val="0"/>
        </w:rPr>
        <w:t xml:space="preserve">, Nicolas Rodriguez</w:t>
      </w:r>
      <w:r w:rsidDel="00000000" w:rsidR="00000000" w:rsidRPr="00000000">
        <w:rPr>
          <w:i w:val="1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Andreas Dräger</w:t>
      </w:r>
      <w:r w:rsidDel="00000000" w:rsidR="00000000" w:rsidRPr="00000000">
        <w:rPr>
          <w:i w:val="1"/>
          <w:sz w:val="20"/>
          <w:szCs w:val="20"/>
          <w:vertAlign w:val="superscript"/>
          <w:rtl w:val="0"/>
        </w:rPr>
        <w:t xml:space="preserve">3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Institute for Theoretical Biology, Humboldt University Berlin, Berlin, Germany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European Bioinformatics Institute (EBI), Hinxton, UK, Babraham Institute, Babraham Research Campus, Cambridge, UK.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University of California, San Diego, La Jolla, CA, USA, Center for Bioinformatics Tuebingen (ZBIT), University of Tuebingen, Tübingen, Germany.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 </w:t>
      </w:r>
      <w:r w:rsidDel="00000000" w:rsidR="00000000" w:rsidRPr="00000000">
        <w:rPr>
          <w:sz w:val="20"/>
          <w:szCs w:val="20"/>
          <w:rtl w:val="0"/>
        </w:rPr>
        <w:t xml:space="preserve">cy3sbml is an app for the work with SBML in Cytoscape 3 providing the following functionality: SBML import; support of SBML Core and the Layout, Qualitative Model, Groups, Hierarchical Model Composition, and Flux Balance Constraints packages; reaction-species and extended SBML graphs; access to MIRIAM and SBO-based annotations; use of SBML attributes for visual mappings, network filtering and visualization; SBML validation. cy3sbml includes importer for BioModels and BiGG models to load SBML from standard repositories.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In addition to porting all functionality to Cytoscape 3 many new features have been implemented since the initial Cytoscape 2 release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support </w:t>
        <w:tab/>
        <w:t xml:space="preserve">of the additional SBML packages comp and groups as well as fbc version 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implementation </w:t>
        <w:tab/>
        <w:t xml:space="preserve">of kinetic graphs in addition to species-reaction graphs, providing insights into the relationship between parameters, kinetic laws, reactions,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resolving additional annotation information from primary annotations using the ontology lookup service (OLS)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Integration with additional apps and systems biology workflows via OSGI APIs and </w:t>
        <w:tab/>
        <w:t xml:space="preserve">commands accessible via cyREST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redesign of GUI using web technology (JavaFx WebView)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integration with BiGG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simple installation via app store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Availability and implementation:</w:t>
      </w:r>
      <w:r w:rsidDel="00000000" w:rsidR="00000000" w:rsidRPr="00000000">
        <w:rPr>
          <w:sz w:val="20"/>
          <w:szCs w:val="20"/>
          <w:rtl w:val="0"/>
        </w:rPr>
        <w:t xml:space="preserve"> Freely available for non-commercial purposes from the Cytoscape App Store at</w:t>
      </w:r>
      <w:hyperlink r:id="rId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http://apps.cytoscape.org/apps/cy3sbml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konigmatt@googlemail.com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Supplementary information:</w:t>
      </w:r>
      <w:r w:rsidDel="00000000" w:rsidR="00000000" w:rsidRPr="00000000">
        <w:rPr>
          <w:sz w:val="20"/>
          <w:szCs w:val="20"/>
          <w:rtl w:val="0"/>
        </w:rPr>
        <w:t xml:space="preserve"> Source code and additional information at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https://github.com/matthiaskoenig/cy3sbml/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Courier New" w:cs="Courier New" w:eastAsia="Courier New" w:hAnsi="Courier New"/>
      <w:color w:val="434343"/>
      <w:sz w:val="18"/>
      <w:szCs w:val="18"/>
      <w:shd w:fill="d9d9d9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line="288" w:lineRule="auto"/>
      <w:contextualSpacing w:val="1"/>
    </w:pPr>
    <w:rPr>
      <w:rFonts w:ascii="Courier New" w:cs="Courier New" w:eastAsia="Courier New" w:hAnsi="Courier New"/>
      <w:sz w:val="18"/>
      <w:szCs w:val="18"/>
      <w:shd w:fill="d9d9d9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pps.cytoscape.org/apps/cy3sbml" TargetMode="External"/><Relationship Id="rId6" Type="http://schemas.openxmlformats.org/officeDocument/2006/relationships/hyperlink" Target="http://apps.cytoscape.org/apps/cy3sbml" TargetMode="External"/><Relationship Id="rId7" Type="http://schemas.openxmlformats.org/officeDocument/2006/relationships/hyperlink" Target="https://github.com/matthiaskoenig/cy3sbml/" TargetMode="External"/><Relationship Id="rId8" Type="http://schemas.openxmlformats.org/officeDocument/2006/relationships/hyperlink" Target="https://github.com/matthiaskoenig/cy3sbml/" TargetMode="External"/></Relationships>
</file>