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8ar18utnc6d" w:id="0"/>
      <w:bookmarkEnd w:id="0"/>
      <w:r w:rsidDel="00000000" w:rsidR="00000000" w:rsidRPr="00000000">
        <w:rPr>
          <w:rtl w:val="0"/>
        </w:rPr>
        <w:t xml:space="preserve">Strategien Webpage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s1ht5nw33mr" w:id="1"/>
      <w:bookmarkEnd w:id="1"/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Andere Gruppen-Webseiten ansehen. Was ist gut, was ist schlecht?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Seitenstruktur, Navigation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Landeseite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Notable examples include: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Caltech's MacMillan group website, which has a clean layout and visually clarifies publications: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https://macmillan.princeton.edu/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Jeff Dahn's group website noted for being informative and easy to navigate: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https://www.dal.ca/diff/dahn/news.html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MIT's Buchwald website, also praised for design and informative content: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https://chemistry-buchwald.mit.edu/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Stanford's Burns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https://www.burnschemistry.com/</w:t>
        </w:r>
      </w:hyperlink>
      <w:r w:rsidDel="00000000" w:rsidR="00000000" w:rsidRPr="00000000">
        <w:rPr>
          <w:rtl w:val="0"/>
        </w:rPr>
        <w:t xml:space="preserve">) and Solomon groups, recognized for clean, professional, and innovative features on their pages.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https://www.impactmedialab.com/scicomm/top-research-lab-websites-2024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https://www.meghan-barrett.com/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https://www.eddy-lab.org/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https://emery-lab.org/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https://www.netzerolab.science/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https://www.natcapinsights.com/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These exemplary lab websites share common elements that make them successful: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navigation and intuitive user experience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Compelling visual storytelling that supports clear scientific communication through the content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language that engages diverse audiences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integration of multimedia elements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Mobile-responsive design for seamless viewing across devices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Your lab website is more than a digital brochure – it's a powerful platform for sharing your research impact with the world.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websites share common elements such as: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homepage with research summary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profiles with nationality flags or roles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publication pages with accessible descriptions or graphical elements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or updates about recent work and achievements</w:t>
        <w:br w:type="textWrapping"/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gjkiemx357hs" w:id="2"/>
      <w:bookmarkEnd w:id="2"/>
      <w:r w:rsidDel="00000000" w:rsidR="00000000" w:rsidRPr="00000000">
        <w:rPr>
          <w:rtl w:val="0"/>
        </w:rPr>
        <w:t xml:space="preserve">Positionierung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Akkurate Vorhersage;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Digital Zwillinge / Modelle für individualisierte Vorhersagen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verschiedene klinische Fragestellungen: Leberfunktionsvorhersage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Dreiklang: wir machen etwas für den </w:t>
      </w:r>
      <w:r w:rsidDel="00000000" w:rsidR="00000000" w:rsidRPr="00000000">
        <w:rPr>
          <w:b w:val="1"/>
          <w:bCs w:val="1"/>
          <w:rtl w:val="0"/>
        </w:rPr>
        <w:t xml:space="preserve">Patienten, den Arzt, die Gesellschaft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Vision: Anwendung in der Klinik, reale klinische Fragestellungen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short statement of the future, what we want to do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sollte breit sein; viele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TODO: </w:t>
      </w:r>
      <w:r w:rsidDel="00000000" w:rsidR="00000000" w:rsidRPr="00000000">
        <w:rPr>
          <w:rtl w:val="0"/>
        </w:rPr>
        <w:t xml:space="preserve">Mission/Vision finding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https://itk.mitre.org/mission-vision-canvas/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Golden Circle Model (Warum tue ich etwas, wie mache ich die Welt besser? Für wen tun wir das?)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Erlebnisversprechen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Energie; emotionell;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Wir sind die einzige Organisation, die …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Prof. weniger im Vordergrund (keine Positionierung über Person)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=&gt; Dinge müssen viel klarer sein, weniger ist mehr (insbesondere auf der Landing Page)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=&gt; klare Steuerung des Publikums (Klarheit)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zf7yehe0n12i" w:id="3"/>
      <w:bookmarkEnd w:id="3"/>
      <w:r w:rsidDel="00000000" w:rsidR="00000000" w:rsidRPr="00000000">
        <w:rPr>
          <w:rtl w:val="0"/>
        </w:rPr>
        <w:t xml:space="preserve">Grundbotschaften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Science, Open Data, FAIR, Standardisierung, Reproduzierbarkeit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58fkzyh7n0ny" w:id="4"/>
      <w:bookmarkEnd w:id="4"/>
      <w:r w:rsidDel="00000000" w:rsidR="00000000" w:rsidRPr="00000000">
        <w:rPr>
          <w:rtl w:val="0"/>
        </w:rPr>
        <w:t xml:space="preserve">Argumentation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Kernbotschaften: </w:t>
      </w:r>
      <w:r w:rsidDel="00000000" w:rsidR="00000000" w:rsidRPr="00000000">
        <w:rPr>
          <w:b w:val="1"/>
          <w:bCs w:val="1"/>
          <w:rtl w:val="0"/>
        </w:rPr>
        <w:t xml:space="preserve">Computermodelle bieten Mehrwert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Patienten (interessierte Angehörige)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Bessere/frühere Diagnose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Bessere Behandlung durch individualisierte Vorhersage (z.B. Gender); individualisierte Dosierung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weniger Nebenwirkung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schneller wieder gesund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selbstbestimmt leben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Arzt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Bessere (Riskio-)Vorhersagen; Accuracy v.a. durch Individualisierung/Stratifizierung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weniger klinische Probleme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Gesellschaft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Resourcen eingespart (Menschlich, Tierexperiemente)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Kosten Gesundheitssystem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Koopertionspartner (Academia/Industrie/Technology)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mögliche Anknüpfungspunkte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offene Daten, offener Code, Software, Workflows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Studierende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interessante Projekte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Zukunftstechnologie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Funding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Investition Zukunftstechnologie (großes </w:t>
      </w:r>
      <w:r w:rsidDel="00000000" w:rsidR="00000000" w:rsidRPr="00000000">
        <w:rPr>
          <w:b w:val="1"/>
          <w:bCs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Übertragbarkeit Methoden/Modelle auf andere (Organ-)Systeme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Klarheit, Fokussierung, welche Reihenfolge, 3-4 maximum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Wie gehen wir mit unseren Resourcen um; 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4v05l2ajhfdf" w:id="5"/>
      <w:bookmarkEnd w:id="5"/>
      <w:r w:rsidDel="00000000" w:rsidR="00000000" w:rsidRPr="00000000">
        <w:rPr>
          <w:rtl w:val="0"/>
        </w:rPr>
        <w:t xml:space="preserve">Kanäle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Digitale Kommunikation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Webseite macht erstmal keine Kontakte (passiert auf anderen Kanälen, e.g. Linked, Präsentationen)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Schwierigkeitsgrad herunterbrechen; in einfacher Sprache; 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gek9wrnlft8m" w:id="6"/>
      <w:bookmarkEnd w:id="6"/>
      <w:r w:rsidDel="00000000" w:rsidR="00000000" w:rsidRPr="00000000">
        <w:rPr>
          <w:rtl w:val="0"/>
        </w:rPr>
        <w:t xml:space="preserve">Medien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Werbung durch LinkedIn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Werbung auf Konferenzen/Vorträgen/Postern (QR Code &amp; Link)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Courier New" w:cs="Courier New" w:eastAsia="Courier New" w:hAnsi="Courier New"/>
      <w:color w:val="434343"/>
      <w:sz w:val="18"/>
      <w:szCs w:val="18"/>
      <w:shd w:fill="d9d9d9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pageBreakBefore w:val="0"/>
      <w:spacing w:line="288" w:lineRule="auto"/>
    </w:pPr>
    <w:rPr>
      <w:rFonts w:ascii="Courier New" w:cs="Courier New" w:eastAsia="Courier New" w:hAnsi="Courier New"/>
      <w:sz w:val="18"/>
      <w:szCs w:val="18"/>
      <w:shd w:fill="d9d9d9" w:val="clear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eghan-barrett.com/" TargetMode="External"/><Relationship Id="rId10" Type="http://schemas.openxmlformats.org/officeDocument/2006/relationships/hyperlink" Target="https://www.impactmedialab.com/scicomm/top-research-lab-websites-2024" TargetMode="External"/><Relationship Id="rId13" Type="http://schemas.openxmlformats.org/officeDocument/2006/relationships/hyperlink" Target="https://emery-lab.org/" TargetMode="External"/><Relationship Id="rId12" Type="http://schemas.openxmlformats.org/officeDocument/2006/relationships/hyperlink" Target="https://www.eddy-lab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urnschemistry.com/" TargetMode="External"/><Relationship Id="rId15" Type="http://schemas.openxmlformats.org/officeDocument/2006/relationships/hyperlink" Target="https://www.natcapinsights.com/" TargetMode="External"/><Relationship Id="rId14" Type="http://schemas.openxmlformats.org/officeDocument/2006/relationships/hyperlink" Target="https://www.netzerolab.science/" TargetMode="External"/><Relationship Id="rId16" Type="http://schemas.openxmlformats.org/officeDocument/2006/relationships/hyperlink" Target="https://itk.mitre.org/mission-vision-canvas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cmillan.princeton.edu/" TargetMode="External"/><Relationship Id="rId7" Type="http://schemas.openxmlformats.org/officeDocument/2006/relationships/hyperlink" Target="https://www.dal.ca/diff/dahn/news.html" TargetMode="External"/><Relationship Id="rId8" Type="http://schemas.openxmlformats.org/officeDocument/2006/relationships/hyperlink" Target="https://chemistry-buchwald.mit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