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F5FF" w14:textId="498E34B0" w:rsidR="009C1977" w:rsidRPr="00461D97" w:rsidRDefault="009C1977" w:rsidP="009C1977">
      <w:pPr>
        <w:spacing w:after="0"/>
        <w:ind w:left="1260"/>
        <w:rPr>
          <w:rFonts w:ascii="Arial Nova Cond Light" w:hAnsi="Arial Nova Cond Light"/>
          <w:b/>
          <w:bCs/>
        </w:rPr>
      </w:pPr>
      <w:r w:rsidRPr="00461D97">
        <w:rPr>
          <w:noProof/>
        </w:rPr>
        <w:drawing>
          <wp:anchor distT="0" distB="0" distL="114300" distR="114300" simplePos="0" relativeHeight="251658240" behindDoc="1" locked="0" layoutInCell="1" allowOverlap="1" wp14:anchorId="4ADDFBCE" wp14:editId="6F88141C">
            <wp:simplePos x="0" y="0"/>
            <wp:positionH relativeFrom="column">
              <wp:posOffset>-99060</wp:posOffset>
            </wp:positionH>
            <wp:positionV relativeFrom="paragraph">
              <wp:posOffset>-215900</wp:posOffset>
            </wp:positionV>
            <wp:extent cx="952500" cy="952500"/>
            <wp:effectExtent l="0" t="0" r="0" b="0"/>
            <wp:wrapNone/>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1D97">
        <w:rPr>
          <w:rFonts w:ascii="Arial Nova Cond Light" w:hAnsi="Arial Nova Cond Light"/>
          <w:b/>
          <w:bCs/>
        </w:rPr>
        <w:t>Rotation Analytics Inc</w:t>
      </w:r>
    </w:p>
    <w:p w14:paraId="33324CB1" w14:textId="26BD2A86" w:rsidR="000E0570" w:rsidRPr="000E0570" w:rsidRDefault="000E0570" w:rsidP="000E0570">
      <w:pPr>
        <w:spacing w:after="0"/>
        <w:ind w:left="1260"/>
        <w:rPr>
          <w:rFonts w:ascii="Arial Nova Cond Light" w:hAnsi="Arial Nova Cond Light"/>
          <w:sz w:val="22"/>
          <w:szCs w:val="22"/>
        </w:rPr>
      </w:pPr>
      <w:r w:rsidRPr="000E0570">
        <w:rPr>
          <w:rFonts w:ascii="Arial Nova Cond Light" w:hAnsi="Arial Nova Cond Light"/>
          <w:sz w:val="22"/>
          <w:szCs w:val="22"/>
        </w:rPr>
        <w:t>Clarity from Complexity</w:t>
      </w:r>
    </w:p>
    <w:p w14:paraId="3F559C3C" w14:textId="600B791E" w:rsidR="00C45C91" w:rsidRPr="00C45C91" w:rsidRDefault="00C45C91" w:rsidP="000E0570">
      <w:pPr>
        <w:spacing w:after="0"/>
        <w:ind w:left="1260"/>
        <w:rPr>
          <w:rFonts w:ascii="Arial Nova Cond Light" w:hAnsi="Arial Nova Cond Light"/>
          <w:b/>
          <w:bCs/>
          <w:sz w:val="22"/>
          <w:szCs w:val="22"/>
        </w:rPr>
      </w:pPr>
      <w:r w:rsidRPr="00C45C91">
        <w:rPr>
          <w:rFonts w:ascii="Arial Nova Cond Light" w:hAnsi="Arial Nova Cond Light"/>
          <w:b/>
          <w:bCs/>
          <w:sz w:val="22"/>
          <w:szCs w:val="22"/>
        </w:rPr>
        <w:t>Fatigue Risk Analysis — Report Guide: Three-Process Model of Alertness Regulation (</w:t>
      </w:r>
      <w:proofErr w:type="spellStart"/>
      <w:r w:rsidRPr="00C45C91">
        <w:rPr>
          <w:rFonts w:ascii="Arial Nova Cond Light" w:hAnsi="Arial Nova Cond Light"/>
          <w:b/>
          <w:bCs/>
          <w:sz w:val="22"/>
          <w:szCs w:val="22"/>
        </w:rPr>
        <w:t>Åkerstedt</w:t>
      </w:r>
      <w:proofErr w:type="spellEnd"/>
      <w:r w:rsidRPr="00C45C91">
        <w:rPr>
          <w:rFonts w:ascii="Arial Nova Cond Light" w:hAnsi="Arial Nova Cond Light"/>
          <w:b/>
          <w:bCs/>
          <w:sz w:val="22"/>
          <w:szCs w:val="22"/>
        </w:rPr>
        <w:t xml:space="preserve"> &amp; Folkard)</w:t>
      </w:r>
    </w:p>
    <w:p w14:paraId="52577ED7" w14:textId="77777777" w:rsidR="00C45C91" w:rsidRPr="00C45C91" w:rsidRDefault="00000000" w:rsidP="00C45C91">
      <w:pPr>
        <w:rPr>
          <w:rFonts w:ascii="Arial Nova Cond Light" w:hAnsi="Arial Nova Cond Light"/>
          <w:sz w:val="22"/>
          <w:szCs w:val="22"/>
        </w:rPr>
      </w:pPr>
      <w:r>
        <w:rPr>
          <w:rFonts w:ascii="Arial Nova Cond Light" w:hAnsi="Arial Nova Cond Light"/>
          <w:sz w:val="22"/>
          <w:szCs w:val="22"/>
        </w:rPr>
        <w:pict w14:anchorId="5DCC6C63">
          <v:rect id="_x0000_i1025" style="width:0;height:0" o:hralign="center" o:hrstd="t" o:hr="t" fillcolor="#a0a0a0" stroked="f"/>
        </w:pict>
      </w:r>
    </w:p>
    <w:p w14:paraId="170968F2"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What This Report Shows</w:t>
      </w:r>
    </w:p>
    <w:p w14:paraId="5F0BD7E4"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 xml:space="preserve">This report provides a science-based fatigue risk assessment for every rotation line in the schedule. It answers the question: what does this schedule </w:t>
      </w:r>
      <w:proofErr w:type="gramStart"/>
      <w:r w:rsidRPr="00B41BA6">
        <w:rPr>
          <w:rFonts w:ascii="Arial Nova Cond Light" w:hAnsi="Arial Nova Cond Light"/>
          <w:b/>
          <w:bCs/>
          <w:sz w:val="22"/>
          <w:szCs w:val="22"/>
        </w:rPr>
        <w:t>actually do</w:t>
      </w:r>
      <w:proofErr w:type="gramEnd"/>
      <w:r w:rsidRPr="00B41BA6">
        <w:rPr>
          <w:rFonts w:ascii="Arial Nova Cond Light" w:hAnsi="Arial Nova Cond Light"/>
          <w:b/>
          <w:bCs/>
          <w:sz w:val="22"/>
          <w:szCs w:val="22"/>
        </w:rPr>
        <w:t xml:space="preserve"> to the worker's body?</w:t>
      </w:r>
    </w:p>
    <w:p w14:paraId="646626B5"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A schedule can be fully compliant with a collective agreement and still produce a worker who is physiologically fatigued. This analysis identifies where and when that happens.</w:t>
      </w:r>
    </w:p>
    <w:p w14:paraId="3DE7E8A3"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How the Fatigue Score Is Calculated</w:t>
      </w:r>
    </w:p>
    <w:p w14:paraId="04D48ADD"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fatigue score is calculated using a biomathematical model that simulates three physiological processes operating inside the human body. The model runs a 15-minute step simulation continuously across every day in the rotation — including days off — to track the worker's physiological state without interruption.</w:t>
      </w:r>
    </w:p>
    <w:p w14:paraId="68DFE4FF"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Process S — Sleep Pressure</w:t>
      </w:r>
    </w:p>
    <w:p w14:paraId="70610AFC"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longer a person is awake, the more their body builds pressure to sleep. This is a real neurochemical process — adenosine accumulates in the brain during wakefulness and clears during sleep.</w:t>
      </w:r>
    </w:p>
    <w:p w14:paraId="55EF6B85"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Sleep pressure builds gradually during every hour of wakefulness</w:t>
      </w:r>
    </w:p>
    <w:p w14:paraId="5CFC9E76"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Sleep pressure dissipates during sleep, clearing roughly four times faster than it builds</w:t>
      </w:r>
    </w:p>
    <w:p w14:paraId="62580A34"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A worker who gets a shortened sleep does not fully clear their accumulated pressure — they carry a residual load into their next shift</w:t>
      </w:r>
    </w:p>
    <w:p w14:paraId="668C57F6"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model tracks this pressure continuously. After 8 hours of sleep, pressure is near zero. After 16 hours awake (a normal waking day), pressure has risen to a moderate level. After 24 hours of continuous wakefulness, pressure is severe.</w:t>
      </w:r>
    </w:p>
    <w:p w14:paraId="311767DD"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In the report: Process S contributes the largest component of the fatigue score. A higher sleep pressure means higher fatigue.</w:t>
      </w:r>
    </w:p>
    <w:p w14:paraId="69F8478C"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Process C — Circadian Rhythm</w:t>
      </w:r>
    </w:p>
    <w:p w14:paraId="74DDC3E3"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human body runs on an internal 24-hour clock that governs alertness independently of how much sleep a person has had. Even a fully rested worker will experience reduced alertness in the early morning hours (approximately 03–05). This is a biological rhythm, not tiredness.</w:t>
      </w:r>
    </w:p>
    <w:p w14:paraId="7AB0C93B"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Alertness peaks in the mid-to-late afternoon (around 16</w:t>
      </w:r>
    </w:p>
    <w:p w14:paraId="6B24E0AE"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w:t>
      </w:r>
    </w:p>
    <w:p w14:paraId="00CC63FB"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Alertness reaches its trough in the early morning (around 04</w:t>
      </w:r>
    </w:p>
    <w:p w14:paraId="3C2455E5"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w:t>
      </w:r>
    </w:p>
    <w:p w14:paraId="5900177F"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This cycle runs continuously regardless of sleep history</w:t>
      </w:r>
    </w:p>
    <w:p w14:paraId="73923841"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In the report: Night shifts receive a circadian penalty of up to +16 points on the fatigue score because the worker is operating during the biological trough. Day and evening shifts receive a circadian benefit of up to -9 points because the worker is operating during more favorable hours.</w:t>
      </w:r>
    </w:p>
    <w:p w14:paraId="4B84FCA4"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Sleep Prediction</w:t>
      </w:r>
    </w:p>
    <w:p w14:paraId="47DCF020"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lastRenderedPageBreak/>
        <w:t xml:space="preserve">During each off-duty period, the model predicts when the worker </w:t>
      </w:r>
      <w:proofErr w:type="gramStart"/>
      <w:r w:rsidRPr="00B41BA6">
        <w:rPr>
          <w:rFonts w:ascii="Arial Nova Cond Light" w:hAnsi="Arial Nova Cond Light"/>
          <w:b/>
          <w:bCs/>
          <w:sz w:val="22"/>
          <w:szCs w:val="22"/>
        </w:rPr>
        <w:t>actually sleeps</w:t>
      </w:r>
      <w:proofErr w:type="gramEnd"/>
      <w:r w:rsidRPr="00B41BA6">
        <w:rPr>
          <w:rFonts w:ascii="Arial Nova Cond Light" w:hAnsi="Arial Nova Cond Light"/>
          <w:b/>
          <w:bCs/>
          <w:sz w:val="22"/>
          <w:szCs w:val="22"/>
        </w:rPr>
        <w:t xml:space="preserve"> based on their physiological state:</w:t>
      </w:r>
    </w:p>
    <w:p w14:paraId="01F4DF95"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worker falls asleep when sleep pressure is high enough and the body's circadian clock is in a sleep-favorable phase</w:t>
      </w:r>
    </w:p>
    <w:p w14:paraId="2A321672"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 xml:space="preserve">During multi-day breaks, the worker sleeps each night naturally — the model </w:t>
      </w:r>
      <w:proofErr w:type="spellStart"/>
      <w:r w:rsidRPr="00B41BA6">
        <w:rPr>
          <w:rFonts w:ascii="Arial Nova Cond Light" w:hAnsi="Arial Nova Cond Light"/>
          <w:b/>
          <w:bCs/>
          <w:sz w:val="22"/>
          <w:szCs w:val="22"/>
        </w:rPr>
        <w:t>recognises</w:t>
      </w:r>
      <w:proofErr w:type="spellEnd"/>
      <w:r w:rsidRPr="00B41BA6">
        <w:rPr>
          <w:rFonts w:ascii="Arial Nova Cond Light" w:hAnsi="Arial Nova Cond Light"/>
          <w:b/>
          <w:bCs/>
          <w:sz w:val="22"/>
          <w:szCs w:val="22"/>
        </w:rPr>
        <w:t xml:space="preserve"> that once sleep pressure rebuilds to a moderate level during nighttime hours (22</w:t>
      </w:r>
    </w:p>
    <w:p w14:paraId="5E93D98C"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–06</w:t>
      </w:r>
    </w:p>
    <w:p w14:paraId="690DC14C"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 the worker will fall asleep again, producing a normal daily sleep-wake cycle across rest periods</w:t>
      </w:r>
    </w:p>
    <w:p w14:paraId="4FBD80F6"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worker wakes when sleep pressure has cleared sufficiently, or when the circadian clock enters a strong alerting phase (natural morning waking), or when the next shift is approaching</w:t>
      </w:r>
    </w:p>
    <w:p w14:paraId="34093CFA"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No fixed sleep window is assumed — sleep timing adapts naturally to the schedule. Night shift workers are predicted to sleep during the day because their sleep pressure is high after the night shift</w:t>
      </w:r>
    </w:p>
    <w:p w14:paraId="617513F7"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Sleep Debt</w:t>
      </w:r>
    </w:p>
    <w:p w14:paraId="638BE011"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When predicted sleep falls below 6 hours and the gap between shifts is short (under 16 hours), the shortfall accumulates as sleep debt. Each hour of debt adds 2 points to the fatigue score. Sleep debt resets to zero when the worker achieves a full sleep period of 7 hours or more.</w:t>
      </w:r>
    </w:p>
    <w:p w14:paraId="081FD741"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 xml:space="preserve">Sleep debt is designed to capture the compounding effect of consecutive short-rest shifts — not to </w:t>
      </w:r>
      <w:proofErr w:type="spellStart"/>
      <w:r w:rsidRPr="00B41BA6">
        <w:rPr>
          <w:rFonts w:ascii="Arial Nova Cond Light" w:hAnsi="Arial Nova Cond Light"/>
          <w:b/>
          <w:bCs/>
          <w:sz w:val="22"/>
          <w:szCs w:val="22"/>
        </w:rPr>
        <w:t>penalise</w:t>
      </w:r>
      <w:proofErr w:type="spellEnd"/>
      <w:r w:rsidRPr="00B41BA6">
        <w:rPr>
          <w:rFonts w:ascii="Arial Nova Cond Light" w:hAnsi="Arial Nova Cond Light"/>
          <w:b/>
          <w:bCs/>
          <w:sz w:val="22"/>
          <w:szCs w:val="22"/>
        </w:rPr>
        <w:t xml:space="preserve"> workers who are well-rested during long recovery periods. A worker with several days off who sleeps less simply because they are not tired does not accumulate debt.</w:t>
      </w:r>
    </w:p>
    <w:p w14:paraId="48917B61"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Days Off</w:t>
      </w:r>
    </w:p>
    <w:p w14:paraId="10371CDF"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Unlike traditional point-in-time analyses that only score worked shifts, this model simulates the worker's physiology through every day of the rotation, including days off. This provides two benefits:</w:t>
      </w:r>
    </w:p>
    <w:p w14:paraId="2D5B4851"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Recovery is visible — you can see sleep pressure drop and fatigue scores decrease across rest periods, confirming the schedule provides adequate recovery</w:t>
      </w:r>
    </w:p>
    <w:p w14:paraId="21F212D6"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Continuity is maintained — the worker's physiological state entering their next shift block is accurately carried forward from the preceding days off, rather than being artificially reset</w:t>
      </w:r>
    </w:p>
    <w:p w14:paraId="5EC95330"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On days off, the fatigue score represents the worker's resting physiological state at the end of that day — effectively, how fatigued they would be if they were called in at that point.</w:t>
      </w:r>
    </w:p>
    <w:p w14:paraId="6C894229"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Fatigue Score Formula</w:t>
      </w:r>
    </w:p>
    <w:p w14:paraId="68BC040C"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three components combine into a single score on a 0–100 scale:</w:t>
      </w:r>
    </w:p>
    <w:p w14:paraId="0FF42298"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Fatigue Score = (Sleep Pressure × 100) + (Circadian Modifier) + (Sleep Debt × 2)</w:t>
      </w:r>
    </w:p>
    <w:p w14:paraId="23DFD9B7"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Sleep Pressure × 100: Converts the 0–1 pressure value to a 0–100 base score</w:t>
      </w:r>
    </w:p>
    <w:p w14:paraId="5DB019AB"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Circadian Modifier: Ranges from approximately -9 (afternoon, favorable) to +16 (early morning, unfavorable)</w:t>
      </w:r>
    </w:p>
    <w:p w14:paraId="47D5AD4E"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Sleep Debt × 2: Adds 2 points per hour of accumulated debt</w:t>
      </w:r>
    </w:p>
    <w:p w14:paraId="6B6670A9"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score is clamped to the range 0–100.</w:t>
      </w:r>
    </w:p>
    <w:p w14:paraId="53FCEFBD"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Risk Classification</w:t>
      </w:r>
    </w:p>
    <w:p w14:paraId="298618AD"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Fatigue Score</w:t>
      </w:r>
      <w:r w:rsidRPr="00B41BA6">
        <w:rPr>
          <w:rFonts w:ascii="Arial Nova Cond Light" w:hAnsi="Arial Nova Cond Light"/>
          <w:b/>
          <w:bCs/>
          <w:sz w:val="22"/>
          <w:szCs w:val="22"/>
        </w:rPr>
        <w:tab/>
        <w:t>Risk Level</w:t>
      </w:r>
      <w:r w:rsidRPr="00B41BA6">
        <w:rPr>
          <w:rFonts w:ascii="Arial Nova Cond Light" w:hAnsi="Arial Nova Cond Light"/>
          <w:b/>
          <w:bCs/>
          <w:sz w:val="22"/>
          <w:szCs w:val="22"/>
        </w:rPr>
        <w:tab/>
        <w:t>Meaning</w:t>
      </w:r>
    </w:p>
    <w:p w14:paraId="186D77B9"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lastRenderedPageBreak/>
        <w:t>0 – 44</w:t>
      </w:r>
      <w:r w:rsidRPr="00B41BA6">
        <w:rPr>
          <w:rFonts w:ascii="Arial Nova Cond Light" w:hAnsi="Arial Nova Cond Light"/>
          <w:b/>
          <w:bCs/>
          <w:sz w:val="22"/>
          <w:szCs w:val="22"/>
        </w:rPr>
        <w:tab/>
        <w:t>Low</w:t>
      </w:r>
      <w:r w:rsidRPr="00B41BA6">
        <w:rPr>
          <w:rFonts w:ascii="Arial Nova Cond Light" w:hAnsi="Arial Nova Cond Light"/>
          <w:b/>
          <w:bCs/>
          <w:sz w:val="22"/>
          <w:szCs w:val="22"/>
        </w:rPr>
        <w:tab/>
        <w:t>Worker is operating within normal physiological parameters for a standard shift. No intervention indicated.</w:t>
      </w:r>
    </w:p>
    <w:p w14:paraId="3A96A3A3"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45 – 59</w:t>
      </w:r>
      <w:r w:rsidRPr="00B41BA6">
        <w:rPr>
          <w:rFonts w:ascii="Arial Nova Cond Light" w:hAnsi="Arial Nova Cond Light"/>
          <w:b/>
          <w:bCs/>
          <w:sz w:val="22"/>
          <w:szCs w:val="22"/>
        </w:rPr>
        <w:tab/>
        <w:t>Moderate</w:t>
      </w:r>
      <w:r w:rsidRPr="00B41BA6">
        <w:rPr>
          <w:rFonts w:ascii="Arial Nova Cond Light" w:hAnsi="Arial Nova Cond Light"/>
          <w:b/>
          <w:bCs/>
          <w:sz w:val="22"/>
          <w:szCs w:val="22"/>
        </w:rPr>
        <w:tab/>
        <w:t>Elevated fatigue. Typical of evening shifts and consecutive day shifts with mildly shortened sleep. Performance may be subtly degraded.</w:t>
      </w:r>
    </w:p>
    <w:p w14:paraId="40107D3B"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60 – 74</w:t>
      </w:r>
      <w:r w:rsidRPr="00B41BA6">
        <w:rPr>
          <w:rFonts w:ascii="Arial Nova Cond Light" w:hAnsi="Arial Nova Cond Light"/>
          <w:b/>
          <w:bCs/>
          <w:sz w:val="22"/>
          <w:szCs w:val="22"/>
        </w:rPr>
        <w:tab/>
        <w:t>High</w:t>
      </w:r>
      <w:r w:rsidRPr="00B41BA6">
        <w:rPr>
          <w:rFonts w:ascii="Arial Nova Cond Light" w:hAnsi="Arial Nova Cond Light"/>
          <w:b/>
          <w:bCs/>
          <w:sz w:val="22"/>
          <w:szCs w:val="22"/>
        </w:rPr>
        <w:tab/>
        <w:t>Significant fatigue. Typical of night shifts, where the circadian trough compounds sleep pressure. Meaningful degradation in reaction time and decision-making expected.</w:t>
      </w:r>
    </w:p>
    <w:p w14:paraId="53A1122E"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75 – 100</w:t>
      </w:r>
      <w:r w:rsidRPr="00B41BA6">
        <w:rPr>
          <w:rFonts w:ascii="Arial Nova Cond Light" w:hAnsi="Arial Nova Cond Light"/>
          <w:b/>
          <w:bCs/>
          <w:sz w:val="22"/>
          <w:szCs w:val="22"/>
        </w:rPr>
        <w:tab/>
        <w:t>Critical</w:t>
      </w:r>
      <w:r w:rsidRPr="00B41BA6">
        <w:rPr>
          <w:rFonts w:ascii="Arial Nova Cond Light" w:hAnsi="Arial Nova Cond Light"/>
          <w:b/>
          <w:bCs/>
          <w:sz w:val="22"/>
          <w:szCs w:val="22"/>
        </w:rPr>
        <w:tab/>
        <w:t>Severe fatigue. Occurs with extended wakefulness, deep circadian trough, and compounding sleep debt. Performance impairment is comparable to levels documented in occupational health fatigue literature. Immediate schedule review required.</w:t>
      </w:r>
    </w:p>
    <w:p w14:paraId="65434F11"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How to Read the Report</w:t>
      </w:r>
    </w:p>
    <w:p w14:paraId="623D2FA4"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Summary Table</w:t>
      </w:r>
    </w:p>
    <w:p w14:paraId="60599911"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Each row represents one rotation line. The columns show:</w:t>
      </w:r>
    </w:p>
    <w:p w14:paraId="68520FFE"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Line — The rotation line number</w:t>
      </w:r>
    </w:p>
    <w:p w14:paraId="2F3C75EA"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Fatigue Score – Average — The mean fatigue score across all worked shifts in this line's rotation. This indicates the general fatigue burden of the schedule.</w:t>
      </w:r>
    </w:p>
    <w:p w14:paraId="3D846867"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Fatigue Score – Min — The lowest fatigue score among worked shifts in the rotation (typically a well-rested day shift after days off).</w:t>
      </w:r>
    </w:p>
    <w:p w14:paraId="1BA5FB75"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Fatigue Score – Max — The highest fatigue score among worked shifts in the rotation (typically during a night shift block or after consecutive shifts with shortened sleep).</w:t>
      </w:r>
    </w:p>
    <w:p w14:paraId="49AC6848"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Fatigue Risk – Average — Risk classification based on the average score.</w:t>
      </w:r>
    </w:p>
    <w:p w14:paraId="76297582"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Fatigue Risk – Max — Risk classification based on the peak score. This is the primary risk indicator. It answers: "At any point in this rotation, does the worker reach a concerning fatigue level?"</w:t>
      </w:r>
    </w:p>
    <w:p w14:paraId="2F8DF6E3"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 xml:space="preserve">Rotation Fatigue Score Trend — A miniature graph (sparkline) showing the fatigue </w:t>
      </w:r>
      <w:proofErr w:type="gramStart"/>
      <w:r w:rsidRPr="00B41BA6">
        <w:rPr>
          <w:rFonts w:ascii="Arial Nova Cond Light" w:hAnsi="Arial Nova Cond Light"/>
          <w:b/>
          <w:bCs/>
          <w:sz w:val="22"/>
          <w:szCs w:val="22"/>
        </w:rPr>
        <w:t>score at</w:t>
      </w:r>
      <w:proofErr w:type="gramEnd"/>
      <w:r w:rsidRPr="00B41BA6">
        <w:rPr>
          <w:rFonts w:ascii="Arial Nova Cond Light" w:hAnsi="Arial Nova Cond Light"/>
          <w:b/>
          <w:bCs/>
          <w:sz w:val="22"/>
          <w:szCs w:val="22"/>
        </w:rPr>
        <w:t xml:space="preserve"> every day across the entire rotation, scaled from 0 to 100. This now includes days off, showing the full recovery and fatigue cycle.</w:t>
      </w:r>
    </w:p>
    <w:p w14:paraId="74452346"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Reading the Trend Graph</w:t>
      </w:r>
    </w:p>
    <w:p w14:paraId="1B673935"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sparkline in each row traces the fatigue score across every day of the rotation — both worked days and days off. Key patterns to look for:</w:t>
      </w:r>
    </w:p>
    <w:p w14:paraId="620A54A2"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Flat, low lines — The rotation produces consistent, manageable fatigue. Typical of day-only schedules with adequate rest between shifts.</w:t>
      </w:r>
    </w:p>
    <w:p w14:paraId="415DB566"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Spikes — Sharp upward peaks indicate shifts where fatigue is significantly elevated. These usually correspond to night shift blocks or the transition from day shifts to night shifts.</w:t>
      </w:r>
    </w:p>
    <w:p w14:paraId="4304EF22"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The first night shift spike — The tallest spike in a night block is almost always the first night shift. This is because the worker transitions from a daytime schedule — they have been awake all day before starting the night shift, resulting in the longest continuous wakefulness period. Subsequent night shifts are typically lower because the worker has adapted to daytime sleeping.</w:t>
      </w:r>
    </w:p>
    <w:p w14:paraId="2F56C677"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Gradual upward drift — A trend that rises slowly across consecutive shifts without resetting indicates accumulating fatigue from insufficient recovery between shifts.</w:t>
      </w:r>
    </w:p>
    <w:p w14:paraId="2F089847"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 xml:space="preserve">Valleys between work blocks — The dips between shift blocks show recovery on days off. Deep valleys returning to low scores confirm the worker is fully recovering. Shallow valleys that don't drop below 30 suggest the </w:t>
      </w:r>
      <w:proofErr w:type="gramStart"/>
      <w:r w:rsidRPr="00B41BA6">
        <w:rPr>
          <w:rFonts w:ascii="Arial Nova Cond Light" w:hAnsi="Arial Nova Cond Light"/>
          <w:b/>
          <w:bCs/>
          <w:sz w:val="22"/>
          <w:szCs w:val="22"/>
        </w:rPr>
        <w:t>rest</w:t>
      </w:r>
      <w:proofErr w:type="gramEnd"/>
      <w:r w:rsidRPr="00B41BA6">
        <w:rPr>
          <w:rFonts w:ascii="Arial Nova Cond Light" w:hAnsi="Arial Nova Cond Light"/>
          <w:b/>
          <w:bCs/>
          <w:sz w:val="22"/>
          <w:szCs w:val="22"/>
        </w:rPr>
        <w:t xml:space="preserve"> period may be insufficient for complete recovery.</w:t>
      </w:r>
    </w:p>
    <w:p w14:paraId="77C6957C"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lastRenderedPageBreak/>
        <w:t>Sharp drops — A sudden return to low scores indicates a recovery period where the worker obtained sufficient sleep to fully clear their sleep pressure and debt.</w:t>
      </w:r>
    </w:p>
    <w:p w14:paraId="1861B102"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Comparing Lines</w:t>
      </w:r>
    </w:p>
    <w:p w14:paraId="76D0500C"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Because all sparklines use the same 0–100 vertical scale, they are directly comparable across rows. A line that shows visibly higher peaks than another line carries more fatigue risk, even if both are classified at the same average risk level.</w:t>
      </w:r>
    </w:p>
    <w:p w14:paraId="309BD0A6"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Lines classified as DN (Day-Night rotation) will typically show more variation than DE (Day-Evening) lines, with distinct high and low blocks corresponding to night and day shift periods respectively.</w:t>
      </w:r>
    </w:p>
    <w:p w14:paraId="64A0468C"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Important Context</w:t>
      </w:r>
    </w:p>
    <w:p w14:paraId="73BF4551"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This analysis models a representative worker based on established physiological parameters. It does not account for individual variation in sleep patterns, age, chronotype, or health status. The fatigue scores represent what a typical working-age adult would experience on this schedule.</w:t>
      </w:r>
    </w:p>
    <w:p w14:paraId="0BD33A2D"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 xml:space="preserve">The model is built on the Three-Process Model published by </w:t>
      </w:r>
      <w:proofErr w:type="spellStart"/>
      <w:r w:rsidRPr="00B41BA6">
        <w:rPr>
          <w:rFonts w:ascii="Arial Nova Cond Light" w:hAnsi="Arial Nova Cond Light"/>
          <w:b/>
          <w:bCs/>
          <w:sz w:val="22"/>
          <w:szCs w:val="22"/>
        </w:rPr>
        <w:t>Åkerstedt</w:t>
      </w:r>
      <w:proofErr w:type="spellEnd"/>
      <w:r w:rsidRPr="00B41BA6">
        <w:rPr>
          <w:rFonts w:ascii="Arial Nova Cond Light" w:hAnsi="Arial Nova Cond Light"/>
          <w:b/>
          <w:bCs/>
          <w:sz w:val="22"/>
          <w:szCs w:val="22"/>
        </w:rPr>
        <w:t xml:space="preserve"> and Folkard (1987, revised through 2008), the most widely validated biomathematical model for shift work fatigue in the occupational health literature. Its parameters have been validated against real worker performance data including healthcare and industrial settings.</w:t>
      </w:r>
    </w:p>
    <w:p w14:paraId="416B8CAA"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This report is an analytical tool. It does not replace clinical or occupational health assessments for a specific individual. It provides objective, data-driven risk assessment to inform scheduling decisions.</w:t>
      </w:r>
    </w:p>
    <w:p w14:paraId="56003810"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References</w:t>
      </w:r>
    </w:p>
    <w:p w14:paraId="6173A3A3"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Åkerstedt, T., &amp; Folkard, S. (1997). The three-process model of alertness and its extension to performance, sleep latency, and sleep length. Chronobiology International, 14(2), 115–123.</w:t>
      </w:r>
    </w:p>
    <w:p w14:paraId="2C599EA6"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 xml:space="preserve">Åkerstedt, T., </w:t>
      </w:r>
      <w:proofErr w:type="spellStart"/>
      <w:r w:rsidRPr="00B41BA6">
        <w:rPr>
          <w:rFonts w:ascii="Arial Nova Cond Light" w:hAnsi="Arial Nova Cond Light"/>
          <w:b/>
          <w:bCs/>
          <w:sz w:val="22"/>
          <w:szCs w:val="22"/>
        </w:rPr>
        <w:t>Ingre</w:t>
      </w:r>
      <w:proofErr w:type="spellEnd"/>
      <w:r w:rsidRPr="00B41BA6">
        <w:rPr>
          <w:rFonts w:ascii="Arial Nova Cond Light" w:hAnsi="Arial Nova Cond Light"/>
          <w:b/>
          <w:bCs/>
          <w:sz w:val="22"/>
          <w:szCs w:val="22"/>
        </w:rPr>
        <w:t xml:space="preserve">, M., </w:t>
      </w:r>
      <w:proofErr w:type="spellStart"/>
      <w:r w:rsidRPr="00B41BA6">
        <w:rPr>
          <w:rFonts w:ascii="Arial Nova Cond Light" w:hAnsi="Arial Nova Cond Light"/>
          <w:b/>
          <w:bCs/>
          <w:sz w:val="22"/>
          <w:szCs w:val="22"/>
        </w:rPr>
        <w:t>Kecklund</w:t>
      </w:r>
      <w:proofErr w:type="spellEnd"/>
      <w:r w:rsidRPr="00B41BA6">
        <w:rPr>
          <w:rFonts w:ascii="Arial Nova Cond Light" w:hAnsi="Arial Nova Cond Light"/>
          <w:b/>
          <w:bCs/>
          <w:sz w:val="22"/>
          <w:szCs w:val="22"/>
        </w:rPr>
        <w:t>, G., Folkard, S., &amp; Axelsson, J. (2008). Accounting for partial sleep deprivation and cumulative sleepiness in the Three-Process Model of alertness regulation. Chronobiology International, 25(2), 309–319.</w:t>
      </w:r>
    </w:p>
    <w:p w14:paraId="05281881"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 xml:space="preserve">Folkard, S., &amp; </w:t>
      </w:r>
      <w:proofErr w:type="spellStart"/>
      <w:r w:rsidRPr="00B41BA6">
        <w:rPr>
          <w:rFonts w:ascii="Arial Nova Cond Light" w:hAnsi="Arial Nova Cond Light"/>
          <w:b/>
          <w:bCs/>
          <w:sz w:val="22"/>
          <w:szCs w:val="22"/>
        </w:rPr>
        <w:t>Åkerstedt</w:t>
      </w:r>
      <w:proofErr w:type="spellEnd"/>
      <w:r w:rsidRPr="00B41BA6">
        <w:rPr>
          <w:rFonts w:ascii="Arial Nova Cond Light" w:hAnsi="Arial Nova Cond Light"/>
          <w:b/>
          <w:bCs/>
          <w:sz w:val="22"/>
          <w:szCs w:val="22"/>
        </w:rPr>
        <w:t>, T. (2004). Trends in the risk of accidents and injuries and their implications for models of fatigue and performance. Aviation, Space, and Environmental Medicine, 75(3), A161–A167.</w:t>
      </w:r>
    </w:p>
    <w:p w14:paraId="6E40CA4D" w14:textId="77777777" w:rsidR="00B41BA6" w:rsidRPr="00B41BA6" w:rsidRDefault="00B41BA6" w:rsidP="00B41BA6">
      <w:pPr>
        <w:rPr>
          <w:rFonts w:ascii="Arial Nova Cond Light" w:hAnsi="Arial Nova Cond Light"/>
          <w:b/>
          <w:bCs/>
          <w:sz w:val="22"/>
          <w:szCs w:val="22"/>
        </w:rPr>
      </w:pPr>
      <w:r w:rsidRPr="00B41BA6">
        <w:rPr>
          <w:rFonts w:ascii="Arial Nova Cond Light" w:hAnsi="Arial Nova Cond Light"/>
          <w:b/>
          <w:bCs/>
          <w:sz w:val="22"/>
          <w:szCs w:val="22"/>
        </w:rPr>
        <w:t>Prepared by Rotation Analytics. For questions regarding the scientific basis or methodology of this fatigue analysis, contact the Rotation Analytics team.</w:t>
      </w:r>
    </w:p>
    <w:p w14:paraId="2C0112B1" w14:textId="77777777" w:rsidR="00DE1048" w:rsidRPr="009C1977" w:rsidRDefault="00DE1048">
      <w:pPr>
        <w:rPr>
          <w:rFonts w:ascii="Arial Nova Cond Light" w:hAnsi="Arial Nova Cond Light"/>
          <w:sz w:val="22"/>
          <w:szCs w:val="22"/>
        </w:rPr>
      </w:pPr>
    </w:p>
    <w:sectPr w:rsidR="00DE1048" w:rsidRPr="009C1977" w:rsidSect="009C19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0F3D"/>
    <w:multiLevelType w:val="multilevel"/>
    <w:tmpl w:val="A92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31015D"/>
    <w:multiLevelType w:val="multilevel"/>
    <w:tmpl w:val="DF5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255C7F"/>
    <w:multiLevelType w:val="multilevel"/>
    <w:tmpl w:val="5F98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C23131"/>
    <w:multiLevelType w:val="multilevel"/>
    <w:tmpl w:val="AF60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76471A"/>
    <w:multiLevelType w:val="multilevel"/>
    <w:tmpl w:val="0C8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E84F45"/>
    <w:multiLevelType w:val="multilevel"/>
    <w:tmpl w:val="8FEA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1805665">
    <w:abstractNumId w:val="5"/>
  </w:num>
  <w:num w:numId="2" w16cid:durableId="2058359257">
    <w:abstractNumId w:val="0"/>
  </w:num>
  <w:num w:numId="3" w16cid:durableId="796991566">
    <w:abstractNumId w:val="3"/>
  </w:num>
  <w:num w:numId="4" w16cid:durableId="1571580225">
    <w:abstractNumId w:val="1"/>
  </w:num>
  <w:num w:numId="5" w16cid:durableId="568731375">
    <w:abstractNumId w:val="2"/>
  </w:num>
  <w:num w:numId="6" w16cid:durableId="981155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91"/>
    <w:rsid w:val="000E0570"/>
    <w:rsid w:val="000E394B"/>
    <w:rsid w:val="00461D97"/>
    <w:rsid w:val="00547CA2"/>
    <w:rsid w:val="009C1977"/>
    <w:rsid w:val="00B41BA6"/>
    <w:rsid w:val="00BA78F4"/>
    <w:rsid w:val="00C45C91"/>
    <w:rsid w:val="00C949A4"/>
    <w:rsid w:val="00DE1048"/>
    <w:rsid w:val="00F83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8C34C"/>
  <w15:chartTrackingRefBased/>
  <w15:docId w15:val="{DAA48730-BF3B-4FE0-8719-D4A84C20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C91"/>
    <w:rPr>
      <w:rFonts w:eastAsiaTheme="majorEastAsia" w:cstheme="majorBidi"/>
      <w:color w:val="272727" w:themeColor="text1" w:themeTint="D8"/>
    </w:rPr>
  </w:style>
  <w:style w:type="paragraph" w:styleId="Title">
    <w:name w:val="Title"/>
    <w:basedOn w:val="Normal"/>
    <w:next w:val="Normal"/>
    <w:link w:val="TitleChar"/>
    <w:uiPriority w:val="10"/>
    <w:qFormat/>
    <w:rsid w:val="00C45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C91"/>
    <w:pPr>
      <w:spacing w:before="160"/>
      <w:jc w:val="center"/>
    </w:pPr>
    <w:rPr>
      <w:i/>
      <w:iCs/>
      <w:color w:val="404040" w:themeColor="text1" w:themeTint="BF"/>
    </w:rPr>
  </w:style>
  <w:style w:type="character" w:customStyle="1" w:styleId="QuoteChar">
    <w:name w:val="Quote Char"/>
    <w:basedOn w:val="DefaultParagraphFont"/>
    <w:link w:val="Quote"/>
    <w:uiPriority w:val="29"/>
    <w:rsid w:val="00C45C91"/>
    <w:rPr>
      <w:i/>
      <w:iCs/>
      <w:color w:val="404040" w:themeColor="text1" w:themeTint="BF"/>
    </w:rPr>
  </w:style>
  <w:style w:type="paragraph" w:styleId="ListParagraph">
    <w:name w:val="List Paragraph"/>
    <w:basedOn w:val="Normal"/>
    <w:uiPriority w:val="34"/>
    <w:qFormat/>
    <w:rsid w:val="00C45C91"/>
    <w:pPr>
      <w:ind w:left="720"/>
      <w:contextualSpacing/>
    </w:pPr>
  </w:style>
  <w:style w:type="character" w:styleId="IntenseEmphasis">
    <w:name w:val="Intense Emphasis"/>
    <w:basedOn w:val="DefaultParagraphFont"/>
    <w:uiPriority w:val="21"/>
    <w:qFormat/>
    <w:rsid w:val="00C45C91"/>
    <w:rPr>
      <w:i/>
      <w:iCs/>
      <w:color w:val="0F4761" w:themeColor="accent1" w:themeShade="BF"/>
    </w:rPr>
  </w:style>
  <w:style w:type="paragraph" w:styleId="IntenseQuote">
    <w:name w:val="Intense Quote"/>
    <w:basedOn w:val="Normal"/>
    <w:next w:val="Normal"/>
    <w:link w:val="IntenseQuoteChar"/>
    <w:uiPriority w:val="30"/>
    <w:qFormat/>
    <w:rsid w:val="00C45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C91"/>
    <w:rPr>
      <w:i/>
      <w:iCs/>
      <w:color w:val="0F4761" w:themeColor="accent1" w:themeShade="BF"/>
    </w:rPr>
  </w:style>
  <w:style w:type="character" w:styleId="IntenseReference">
    <w:name w:val="Intense Reference"/>
    <w:basedOn w:val="DefaultParagraphFont"/>
    <w:uiPriority w:val="32"/>
    <w:qFormat/>
    <w:rsid w:val="00C45C91"/>
    <w:rPr>
      <w:b/>
      <w:bCs/>
      <w:smallCaps/>
      <w:color w:val="0F4761" w:themeColor="accent1" w:themeShade="BF"/>
      <w:spacing w:val="5"/>
    </w:rPr>
  </w:style>
  <w:style w:type="table" w:styleId="PlainTable3">
    <w:name w:val="Plain Table 3"/>
    <w:basedOn w:val="TableNormal"/>
    <w:uiPriority w:val="43"/>
    <w:rsid w:val="00C45C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9C197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1628</Words>
  <Characters>9021</Characters>
  <Application>Microsoft Office Word</Application>
  <DocSecurity>0</DocSecurity>
  <Lines>152</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Visser</dc:creator>
  <cp:keywords/>
  <dc:description/>
  <cp:lastModifiedBy>Matt Visser</cp:lastModifiedBy>
  <cp:revision>5</cp:revision>
  <dcterms:created xsi:type="dcterms:W3CDTF">2026-03-20T20:23:00Z</dcterms:created>
  <dcterms:modified xsi:type="dcterms:W3CDTF">2026-03-21T14:39:00Z</dcterms:modified>
</cp:coreProperties>
</file>