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EEA29" w14:textId="77777777" w:rsidR="00BF6294" w:rsidRDefault="00000000" w:rsidP="00DD28F6">
      <w:pPr>
        <w:spacing w:before="315" w:after="105" w:line="360" w:lineRule="auto"/>
      </w:pPr>
      <w:bookmarkStart w:id="0" w:name="frage_1_vier_risikobereiche_mit_b_4ae3a4"/>
      <w:r>
        <w:rPr>
          <w:rFonts w:ascii="inter" w:eastAsia="inter" w:hAnsi="inter" w:cs="inter"/>
          <w:b/>
          <w:color w:val="000000"/>
          <w:sz w:val="24"/>
        </w:rPr>
        <w:t>Frage 1 – Vier Risikobereiche mit Beispielen (12 Punkte)</w:t>
      </w:r>
      <w:bookmarkEnd w:id="0"/>
    </w:p>
    <w:p w14:paraId="1429E790" w14:textId="77777777" w:rsidR="00BF6294" w:rsidRDefault="00000000">
      <w:pPr>
        <w:spacing w:after="210" w:line="360" w:lineRule="auto"/>
      </w:pPr>
      <w:r>
        <w:rPr>
          <w:rFonts w:ascii="inter" w:eastAsia="inter" w:hAnsi="inter" w:cs="inter"/>
          <w:color w:val="000000"/>
        </w:rPr>
        <w:t>Der Geschäftsführer der Schmidhuber Folien GmbH ist mit seinem Unternehmen verschiedenen versicherungstechnisch relevanten Risikobereichen ausgesetzt. Vier zentrale Bereiche sind:</w:t>
      </w:r>
    </w:p>
    <w:p w14:paraId="26A5296D" w14:textId="77777777" w:rsidR="00BF6294" w:rsidRDefault="00000000">
      <w:pPr>
        <w:numPr>
          <w:ilvl w:val="0"/>
          <w:numId w:val="1"/>
        </w:numPr>
        <w:spacing w:after="210" w:line="360" w:lineRule="auto"/>
      </w:pPr>
      <w:r>
        <w:rPr>
          <w:rFonts w:ascii="inter" w:eastAsia="inter" w:hAnsi="inter" w:cs="inter"/>
          <w:b/>
          <w:color w:val="000000"/>
        </w:rPr>
        <w:t>Sachsubstanzrisiken</w:t>
      </w:r>
      <w:r>
        <w:rPr>
          <w:rFonts w:ascii="inter" w:eastAsia="inter" w:hAnsi="inter" w:cs="inter"/>
          <w:color w:val="000000"/>
        </w:rPr>
        <w:br/>
        <w:t>Hierunter fallen Risiken, die die materiellen Güter des Unternehmens betreffen – also Gebäude, Betriebseinrichtung und Vorräte. Für die Schmidhuber Folien GmbH bedeutet das zum Beispiel:</w:t>
      </w:r>
    </w:p>
    <w:p w14:paraId="2933083A" w14:textId="77777777" w:rsidR="00BF6294" w:rsidRDefault="00000000">
      <w:pPr>
        <w:numPr>
          <w:ilvl w:val="1"/>
          <w:numId w:val="1"/>
        </w:numPr>
        <w:spacing w:before="105" w:after="105" w:line="360" w:lineRule="auto"/>
      </w:pPr>
      <w:r>
        <w:rPr>
          <w:rFonts w:ascii="inter" w:eastAsia="inter" w:hAnsi="inter" w:cs="inter"/>
          <w:color w:val="000000"/>
        </w:rPr>
        <w:t>Brandgefahr in Gebäude A (Produktion) und im Wareneingangslager B; dort werden Kunststoffgranulate und Kartonagen gelagert, und es hat bereits vor drei Jahren einen Brandschaden gegeben.</w:t>
      </w:r>
    </w:p>
    <w:p w14:paraId="25CF5371" w14:textId="77777777" w:rsidR="00BF6294" w:rsidRDefault="00000000">
      <w:pPr>
        <w:numPr>
          <w:ilvl w:val="1"/>
          <w:numId w:val="1"/>
        </w:numPr>
        <w:spacing w:before="105" w:after="105" w:line="360" w:lineRule="auto"/>
      </w:pPr>
      <w:r>
        <w:rPr>
          <w:rFonts w:ascii="inter" w:eastAsia="inter" w:hAnsi="inter" w:cs="inter"/>
          <w:color w:val="000000"/>
        </w:rPr>
        <w:t>Ebenso bestehen Risiken durch weitere Gefahren wie Leitungswasser oder Sturm/Hagel, die die Gebäude und Einrichtungen beschädigen können.</w:t>
      </w:r>
    </w:p>
    <w:p w14:paraId="1DC0DCA3" w14:textId="77777777" w:rsidR="00BF6294" w:rsidRDefault="00000000">
      <w:pPr>
        <w:numPr>
          <w:ilvl w:val="0"/>
          <w:numId w:val="1"/>
        </w:numPr>
        <w:spacing w:after="210" w:line="360" w:lineRule="auto"/>
      </w:pPr>
      <w:r>
        <w:rPr>
          <w:rFonts w:ascii="inter" w:eastAsia="inter" w:hAnsi="inter" w:cs="inter"/>
          <w:b/>
          <w:color w:val="000000"/>
        </w:rPr>
        <w:t>Vermögensrisiken (Haftpflichtrisiken)</w:t>
      </w:r>
      <w:r>
        <w:rPr>
          <w:rFonts w:ascii="inter" w:eastAsia="inter" w:hAnsi="inter" w:cs="inter"/>
          <w:color w:val="000000"/>
        </w:rPr>
        <w:br/>
        <w:t>Diese Risiken betreffen das Vermögen des Unternehmens durch Ansprüche Dritter, etwa wenn Personen oder fremde Sachen geschädigt werden. Für Schmidhuber ist beispielsweise denkbar:</w:t>
      </w:r>
    </w:p>
    <w:p w14:paraId="0ADD10BE" w14:textId="77777777" w:rsidR="00BF6294" w:rsidRDefault="00000000">
      <w:pPr>
        <w:numPr>
          <w:ilvl w:val="1"/>
          <w:numId w:val="1"/>
        </w:numPr>
        <w:spacing w:before="105" w:after="105" w:line="360" w:lineRule="auto"/>
      </w:pPr>
      <w:r>
        <w:rPr>
          <w:rFonts w:ascii="inter" w:eastAsia="inter" w:hAnsi="inter" w:cs="inter"/>
          <w:color w:val="000000"/>
        </w:rPr>
        <w:t>Ein Kunde erleidet einen Vermögensschaden, weil gelieferte Folien mangelhaft sind und seine eigene Produktion stillsteht; er macht daraufhin Schadensersatzansprüche gegen Schmidhuber geltend (Produkthaftpflicht).</w:t>
      </w:r>
    </w:p>
    <w:p w14:paraId="5DD7ECFD" w14:textId="77777777" w:rsidR="00BF6294" w:rsidRDefault="00000000">
      <w:pPr>
        <w:numPr>
          <w:ilvl w:val="0"/>
          <w:numId w:val="1"/>
        </w:numPr>
        <w:spacing w:after="210" w:line="360" w:lineRule="auto"/>
      </w:pPr>
      <w:r>
        <w:rPr>
          <w:rFonts w:ascii="inter" w:eastAsia="inter" w:hAnsi="inter" w:cs="inter"/>
          <w:b/>
          <w:color w:val="000000"/>
        </w:rPr>
        <w:t>Rechtliche Risiken</w:t>
      </w:r>
      <w:r>
        <w:rPr>
          <w:rFonts w:ascii="inter" w:eastAsia="inter" w:hAnsi="inter" w:cs="inter"/>
          <w:color w:val="000000"/>
        </w:rPr>
        <w:br/>
        <w:t>Rechtliche Risiken entstehen aus Auseinandersetzungen mit Kunden, Lieferanten, Mitarbeitern oder Behörden. Für die Schmidhuber Folien GmbH beispielsweise:</w:t>
      </w:r>
    </w:p>
    <w:p w14:paraId="3FAB86F1" w14:textId="77777777" w:rsidR="00BF6294" w:rsidRDefault="00000000">
      <w:pPr>
        <w:numPr>
          <w:ilvl w:val="1"/>
          <w:numId w:val="1"/>
        </w:numPr>
        <w:spacing w:before="105" w:after="105" w:line="360" w:lineRule="auto"/>
      </w:pPr>
      <w:r>
        <w:rPr>
          <w:rFonts w:ascii="inter" w:eastAsia="inter" w:hAnsi="inter" w:cs="inter"/>
          <w:color w:val="000000"/>
        </w:rPr>
        <w:t>Ein Rechtsstreit mit einem Lieferanten über die Qualität oder die Einhaltung von Lieferterminen bei Kunststoffgranulat.</w:t>
      </w:r>
    </w:p>
    <w:p w14:paraId="3264AE02" w14:textId="77777777" w:rsidR="00BF6294" w:rsidRDefault="00000000">
      <w:pPr>
        <w:numPr>
          <w:ilvl w:val="1"/>
          <w:numId w:val="1"/>
        </w:numPr>
        <w:spacing w:before="105" w:after="105" w:line="360" w:lineRule="auto"/>
      </w:pPr>
      <w:r>
        <w:rPr>
          <w:rFonts w:ascii="inter" w:eastAsia="inter" w:hAnsi="inter" w:cs="inter"/>
          <w:color w:val="000000"/>
        </w:rPr>
        <w:t>Oder ein arbeitsrechtlicher Streit mit einem Mitarbeiter, etwa wegen Kündigungsschutz oder Abmahnungen. Solche Risiken werden über eine Firmen-Rechtsschutzversicherung abgesichert.</w:t>
      </w:r>
    </w:p>
    <w:p w14:paraId="5B745020" w14:textId="77777777" w:rsidR="00BF6294" w:rsidRDefault="00000000">
      <w:pPr>
        <w:numPr>
          <w:ilvl w:val="0"/>
          <w:numId w:val="1"/>
        </w:numPr>
        <w:spacing w:after="210" w:line="360" w:lineRule="auto"/>
      </w:pPr>
      <w:r>
        <w:rPr>
          <w:rFonts w:ascii="inter" w:eastAsia="inter" w:hAnsi="inter" w:cs="inter"/>
          <w:b/>
          <w:color w:val="000000"/>
        </w:rPr>
        <w:t>Transportrisiken</w:t>
      </w:r>
      <w:r>
        <w:rPr>
          <w:rFonts w:ascii="inter" w:eastAsia="inter" w:hAnsi="inter" w:cs="inter"/>
          <w:color w:val="000000"/>
        </w:rPr>
        <w:br/>
        <w:t>Diese betreffen Schäden an Waren während des Transports von oder zu dem Unternehmen. Für Schmidhuber ergeben sich etwa folgende Risiken:</w:t>
      </w:r>
    </w:p>
    <w:p w14:paraId="1832CDD2" w14:textId="77777777" w:rsidR="00BF6294" w:rsidRDefault="00000000">
      <w:pPr>
        <w:numPr>
          <w:ilvl w:val="1"/>
          <w:numId w:val="1"/>
        </w:numPr>
        <w:spacing w:before="105" w:after="105" w:line="360" w:lineRule="auto"/>
      </w:pPr>
      <w:r>
        <w:rPr>
          <w:rFonts w:ascii="inter" w:eastAsia="inter" w:hAnsi="inter" w:cs="inter"/>
          <w:color w:val="000000"/>
        </w:rPr>
        <w:lastRenderedPageBreak/>
        <w:t>Beim Transport der gewickelten Folienrollen zum Abnehmer werden diese durch einen Verkehrsunfall erheblich beschädigt. Daraus können finanzielle Verluste entstehen, die über eine Transportversicherung abgesichert werden sollten.</w:t>
      </w:r>
    </w:p>
    <w:p w14:paraId="700E9DDE" w14:textId="77777777" w:rsidR="00BF6294" w:rsidRDefault="00000000">
      <w:pPr>
        <w:spacing w:before="210" w:after="0" w:line="360" w:lineRule="auto"/>
      </w:pPr>
      <w:r>
        <w:rPr>
          <w:noProof/>
        </w:rPr>
      </w:r>
      <w:r>
        <w:rPr>
          <w:noProof/>
        </w:rPr>
        <w:pict w14:anchorId="12EDE594">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BCB50C5" w14:textId="77777777" w:rsidR="00BF6294" w:rsidRDefault="00000000">
      <w:pPr>
        <w:spacing w:before="315" w:after="105" w:line="360" w:lineRule="auto"/>
        <w:ind w:left="-30"/>
      </w:pPr>
      <w:bookmarkStart w:id="1" w:name="frage_2_vier_grundsätzlich_nicht_a6b6f5"/>
      <w:r>
        <w:rPr>
          <w:rFonts w:ascii="inter" w:eastAsia="inter" w:hAnsi="inter" w:cs="inter"/>
          <w:b/>
          <w:color w:val="000000"/>
          <w:sz w:val="24"/>
        </w:rPr>
        <w:t>Frage 2 – Vier grundsätzlich nicht versicherbare Risiken (8 Punkte)</w:t>
      </w:r>
      <w:bookmarkEnd w:id="1"/>
    </w:p>
    <w:p w14:paraId="41E690F9" w14:textId="77777777" w:rsidR="00BF6294" w:rsidRDefault="00000000">
      <w:pPr>
        <w:spacing w:after="210" w:line="360" w:lineRule="auto"/>
      </w:pPr>
      <w:r>
        <w:rPr>
          <w:rFonts w:ascii="inter" w:eastAsia="inter" w:hAnsi="inter" w:cs="inter"/>
          <w:color w:val="000000"/>
        </w:rPr>
        <w:t>Im gewerblichen Bereich gibt es Risiken, die grundsätzlich nicht oder nur sehr eingeschränkt versicherbar sind. Vier typische Beispiele sind:</w:t>
      </w:r>
    </w:p>
    <w:p w14:paraId="45548097" w14:textId="77777777" w:rsidR="00BF6294" w:rsidRDefault="00000000">
      <w:pPr>
        <w:numPr>
          <w:ilvl w:val="0"/>
          <w:numId w:val="2"/>
        </w:numPr>
        <w:spacing w:after="210" w:line="360" w:lineRule="auto"/>
      </w:pPr>
      <w:r>
        <w:rPr>
          <w:rFonts w:ascii="inter" w:eastAsia="inter" w:hAnsi="inter" w:cs="inter"/>
          <w:b/>
          <w:color w:val="000000"/>
        </w:rPr>
        <w:t>Allgemeines unternehmerisches Risiko</w:t>
      </w:r>
      <w:r>
        <w:rPr>
          <w:rFonts w:ascii="inter" w:eastAsia="inter" w:hAnsi="inter" w:cs="inter"/>
          <w:color w:val="000000"/>
        </w:rPr>
        <w:br/>
        <w:t>Das Risiko, dass sich das Geschäftsmodell generell nicht wie geplant entwickelt – etwa Fehlinvestitionen, falsche strategische Entscheidungen oder eine unzureichende Marktpositionierung.</w:t>
      </w:r>
    </w:p>
    <w:p w14:paraId="55D5FC6B" w14:textId="77777777" w:rsidR="00BF6294" w:rsidRDefault="00000000">
      <w:pPr>
        <w:numPr>
          <w:ilvl w:val="0"/>
          <w:numId w:val="2"/>
        </w:numPr>
        <w:spacing w:after="210" w:line="360" w:lineRule="auto"/>
      </w:pPr>
      <w:r>
        <w:rPr>
          <w:rFonts w:ascii="inter" w:eastAsia="inter" w:hAnsi="inter" w:cs="inter"/>
          <w:b/>
          <w:color w:val="000000"/>
        </w:rPr>
        <w:t>Vertragliche Erfüllungsrisiken</w:t>
      </w:r>
      <w:r>
        <w:rPr>
          <w:rFonts w:ascii="inter" w:eastAsia="inter" w:hAnsi="inter" w:cs="inter"/>
          <w:color w:val="000000"/>
        </w:rPr>
        <w:br/>
        <w:t>Hierzu gehört zum Beispiel das Risiko, einen Liefer- oder Werkvertrag nicht ordnungsgemäß erfüllen zu können (z.B. Nichteinhaltung von Lieferfristen oder vertraglich zugesicherten Eigenschaften), soweit dies nicht im Rahmen spezieller Deckungskonzepte abgesichert ist. Die reine Vertragserfüllung als solche ist in der Regel nicht versicherbar.</w:t>
      </w:r>
    </w:p>
    <w:p w14:paraId="0D416D5D" w14:textId="77777777" w:rsidR="00BF6294" w:rsidRDefault="00000000">
      <w:pPr>
        <w:numPr>
          <w:ilvl w:val="0"/>
          <w:numId w:val="2"/>
        </w:numPr>
        <w:spacing w:after="210" w:line="360" w:lineRule="auto"/>
      </w:pPr>
      <w:r>
        <w:rPr>
          <w:rFonts w:ascii="inter" w:eastAsia="inter" w:hAnsi="inter" w:cs="inter"/>
          <w:b/>
          <w:color w:val="000000"/>
        </w:rPr>
        <w:t>Versorgungsrisiken</w:t>
      </w:r>
      <w:r>
        <w:rPr>
          <w:rFonts w:ascii="inter" w:eastAsia="inter" w:hAnsi="inter" w:cs="inter"/>
          <w:color w:val="000000"/>
        </w:rPr>
        <w:br/>
        <w:t>Darunter fällt etwa der Ausfall der Wasserversorgung, der Stromversorgung oder anderer wichtiger Energie- und Versorgungsleitungen, soweit keine spezielle Deckung hierfür vereinbart ist. Diese Risiken können zu Produktionsausfällen führen, sind aber meist nicht im Rahmen der normalen Sachversicherung abgedeckt.</w:t>
      </w:r>
    </w:p>
    <w:p w14:paraId="220D501E" w14:textId="77777777" w:rsidR="00BF6294" w:rsidRDefault="00000000">
      <w:pPr>
        <w:numPr>
          <w:ilvl w:val="0"/>
          <w:numId w:val="2"/>
        </w:numPr>
        <w:spacing w:after="210" w:line="360" w:lineRule="auto"/>
      </w:pPr>
      <w:r>
        <w:rPr>
          <w:rFonts w:ascii="inter" w:eastAsia="inter" w:hAnsi="inter" w:cs="inter"/>
          <w:b/>
          <w:color w:val="000000"/>
        </w:rPr>
        <w:t>Allgemeines Konjunktur- und Marktrisiko / Mitbewerberverhalten</w:t>
      </w:r>
      <w:r>
        <w:rPr>
          <w:rFonts w:ascii="inter" w:eastAsia="inter" w:hAnsi="inter" w:cs="inter"/>
          <w:color w:val="000000"/>
        </w:rPr>
        <w:br/>
        <w:t>Marktveränderungen, Nachfrageeinbrüche oder aggressives Verhalten von Wettbewerbern (z.B. Preisdumping, Markteintritt neuer Anbieter) stellen unternehmerische Risiken dar, die nicht über Versicherungen aufgefangen werden, sondern zur normalen Unternehmergefahr gehören.</w:t>
      </w:r>
    </w:p>
    <w:p w14:paraId="73C765BD" w14:textId="77777777" w:rsidR="00BF6294" w:rsidRDefault="00000000">
      <w:pPr>
        <w:spacing w:before="210" w:after="0" w:line="360" w:lineRule="auto"/>
      </w:pPr>
      <w:r>
        <w:rPr>
          <w:noProof/>
        </w:rPr>
      </w:r>
      <w:r>
        <w:rPr>
          <w:noProof/>
        </w:rPr>
        <w:pict w14:anchorId="020F5783">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396F181" w14:textId="77777777" w:rsidR="00BF6294" w:rsidRDefault="00000000">
      <w:pPr>
        <w:spacing w:before="315" w:after="105" w:line="360" w:lineRule="auto"/>
        <w:ind w:left="-30"/>
      </w:pPr>
      <w:bookmarkStart w:id="2" w:name="frage_3_bedeutung_der_vier_zürs_g_53a6fb"/>
      <w:r>
        <w:rPr>
          <w:rFonts w:ascii="inter" w:eastAsia="inter" w:hAnsi="inter" w:cs="inter"/>
          <w:b/>
          <w:color w:val="000000"/>
          <w:sz w:val="24"/>
        </w:rPr>
        <w:t>Frage 3 – Bedeutung der vier ZÜRS-Gefahrenklassen (8 Punkte)</w:t>
      </w:r>
      <w:bookmarkEnd w:id="2"/>
    </w:p>
    <w:p w14:paraId="10BBC6CB" w14:textId="77777777" w:rsidR="00BF6294" w:rsidRDefault="00000000">
      <w:pPr>
        <w:spacing w:after="210" w:line="360" w:lineRule="auto"/>
      </w:pPr>
      <w:r>
        <w:rPr>
          <w:rFonts w:ascii="inter" w:eastAsia="inter" w:hAnsi="inter" w:cs="inter"/>
          <w:color w:val="000000"/>
        </w:rPr>
        <w:t>ZÜRS (Zonierungssystem für Überschwemmung, Rückstau und Starkregen) dient den Versicherern zur Einschätzung des Hochwasserrisikos an einem Standort. Die vier Gefahrenklassen bedeuten:</w:t>
      </w:r>
    </w:p>
    <w:p w14:paraId="0EC626ED" w14:textId="77777777" w:rsidR="00BF6294" w:rsidRDefault="00000000">
      <w:pPr>
        <w:numPr>
          <w:ilvl w:val="0"/>
          <w:numId w:val="3"/>
        </w:numPr>
        <w:spacing w:after="210" w:line="360" w:lineRule="auto"/>
      </w:pPr>
      <w:r>
        <w:rPr>
          <w:rFonts w:ascii="inter" w:eastAsia="inter" w:hAnsi="inter" w:cs="inter"/>
          <w:b/>
          <w:color w:val="000000"/>
        </w:rPr>
        <w:lastRenderedPageBreak/>
        <w:t>Gefahrenklasse 1 (GK 1)</w:t>
      </w:r>
      <w:r>
        <w:rPr>
          <w:rFonts w:ascii="inter" w:eastAsia="inter" w:hAnsi="inter" w:cs="inter"/>
          <w:color w:val="000000"/>
        </w:rPr>
        <w:br/>
        <w:t xml:space="preserve">Standorte in dieser Klasse gelten nach derzeitigem Kenntnisstand als </w:t>
      </w:r>
      <w:r>
        <w:rPr>
          <w:rFonts w:ascii="inter" w:eastAsia="inter" w:hAnsi="inter" w:cs="inter"/>
          <w:b/>
          <w:color w:val="000000"/>
        </w:rPr>
        <w:t>nicht von Hochwasser größerer Gewässer betroffen</w:t>
      </w:r>
      <w:r>
        <w:rPr>
          <w:rFonts w:ascii="inter" w:eastAsia="inter" w:hAnsi="inter" w:cs="inter"/>
          <w:color w:val="000000"/>
        </w:rPr>
        <w:t>. Das Überschwemmungsrisiko ist hier sehr gering. Versicherer können in dieser Zone Naturgefahren wie Hochwasser meist problemlos und zu vergleichsweise günstigen Prämien decken.</w:t>
      </w:r>
    </w:p>
    <w:p w14:paraId="62D00905" w14:textId="77777777" w:rsidR="00BF6294" w:rsidRDefault="00000000">
      <w:pPr>
        <w:numPr>
          <w:ilvl w:val="0"/>
          <w:numId w:val="3"/>
        </w:numPr>
        <w:spacing w:after="210" w:line="360" w:lineRule="auto"/>
      </w:pPr>
      <w:r>
        <w:rPr>
          <w:rFonts w:ascii="inter" w:eastAsia="inter" w:hAnsi="inter" w:cs="inter"/>
          <w:b/>
          <w:color w:val="000000"/>
        </w:rPr>
        <w:t>Gefahrenklasse 2 (GK 2)</w:t>
      </w:r>
      <w:r>
        <w:rPr>
          <w:rFonts w:ascii="inter" w:eastAsia="inter" w:hAnsi="inter" w:cs="inter"/>
          <w:color w:val="000000"/>
        </w:rPr>
        <w:br/>
        <w:t xml:space="preserve">Hier gilt: Ein Hochwasserereignis tritt </w:t>
      </w:r>
      <w:r>
        <w:rPr>
          <w:rFonts w:ascii="inter" w:eastAsia="inter" w:hAnsi="inter" w:cs="inter"/>
          <w:b/>
          <w:color w:val="000000"/>
        </w:rPr>
        <w:t>seltener als einmal in 100 Jahren</w:t>
      </w:r>
      <w:r>
        <w:rPr>
          <w:rFonts w:ascii="inter" w:eastAsia="inter" w:hAnsi="inter" w:cs="inter"/>
          <w:color w:val="000000"/>
        </w:rPr>
        <w:t xml:space="preserve"> auf. Dennoch können Flächen in dieser Zone bei extremen Hochwasserereignissen überflutet werden. Das Risiko ist moderate, aber vorhanden, und fließt entsprechend in die Prämienkalkulation ein.</w:t>
      </w:r>
    </w:p>
    <w:p w14:paraId="61F6E420" w14:textId="77777777" w:rsidR="00BF6294" w:rsidRDefault="00000000">
      <w:pPr>
        <w:numPr>
          <w:ilvl w:val="0"/>
          <w:numId w:val="3"/>
        </w:numPr>
        <w:spacing w:after="210" w:line="360" w:lineRule="auto"/>
      </w:pPr>
      <w:r>
        <w:rPr>
          <w:rFonts w:ascii="inter" w:eastAsia="inter" w:hAnsi="inter" w:cs="inter"/>
          <w:b/>
          <w:color w:val="000000"/>
        </w:rPr>
        <w:t>Gefahrenklasse 3 (GK 3)</w:t>
      </w:r>
      <w:r>
        <w:rPr>
          <w:rFonts w:ascii="inter" w:eastAsia="inter" w:hAnsi="inter" w:cs="inter"/>
          <w:color w:val="000000"/>
        </w:rPr>
        <w:br/>
        <w:t xml:space="preserve">In dieser Zone ist mit einem Hochwasser </w:t>
      </w:r>
      <w:r>
        <w:rPr>
          <w:rFonts w:ascii="inter" w:eastAsia="inter" w:hAnsi="inter" w:cs="inter"/>
          <w:b/>
          <w:color w:val="000000"/>
        </w:rPr>
        <w:t>zwischen einmal in 10 und einmal in 100 Jahren</w:t>
      </w:r>
      <w:r>
        <w:rPr>
          <w:rFonts w:ascii="inter" w:eastAsia="inter" w:hAnsi="inter" w:cs="inter"/>
          <w:color w:val="000000"/>
        </w:rPr>
        <w:t xml:space="preserve"> zu rechnen. Das Risiko ist deutlich erhöht. Versicherer prüfen die Risikosituation genauer, und es kann zu höheren Prämien oder besonderen Sicherheitsanforderungen kommen.</w:t>
      </w:r>
    </w:p>
    <w:p w14:paraId="579A7B43" w14:textId="77777777" w:rsidR="00BF6294" w:rsidRDefault="00000000">
      <w:pPr>
        <w:numPr>
          <w:ilvl w:val="0"/>
          <w:numId w:val="3"/>
        </w:numPr>
        <w:spacing w:after="210" w:line="360" w:lineRule="auto"/>
      </w:pPr>
      <w:r>
        <w:rPr>
          <w:rFonts w:ascii="inter" w:eastAsia="inter" w:hAnsi="inter" w:cs="inter"/>
          <w:b/>
          <w:color w:val="000000"/>
        </w:rPr>
        <w:t>Gefahrenklasse 4 (GK 4)</w:t>
      </w:r>
      <w:r>
        <w:rPr>
          <w:rFonts w:ascii="inter" w:eastAsia="inter" w:hAnsi="inter" w:cs="inter"/>
          <w:color w:val="000000"/>
        </w:rPr>
        <w:br/>
        <w:t xml:space="preserve">Diese Klasse umfasst Gebiete, in denen </w:t>
      </w:r>
      <w:r>
        <w:rPr>
          <w:rFonts w:ascii="inter" w:eastAsia="inter" w:hAnsi="inter" w:cs="inter"/>
          <w:b/>
          <w:color w:val="000000"/>
        </w:rPr>
        <w:t>mindestens einmal in 10 Jahren</w:t>
      </w:r>
      <w:r>
        <w:rPr>
          <w:rFonts w:ascii="inter" w:eastAsia="inter" w:hAnsi="inter" w:cs="inter"/>
          <w:color w:val="000000"/>
        </w:rPr>
        <w:t xml:space="preserve"> mit einem Hochwasser gerechnet werden muss. Das ist die höchste Gefahrenklasse mit sehr hohem Überschwemmungsrisiko. Versicherer zeichnen hier Hochwasserdeckungen oft nur eingeschränkt, mit hohen Prämien oder teilweise gar nicht.</w:t>
      </w:r>
    </w:p>
    <w:p w14:paraId="5C7798CC" w14:textId="77777777" w:rsidR="00BF6294" w:rsidRDefault="00000000">
      <w:pPr>
        <w:spacing w:after="210" w:line="360" w:lineRule="auto"/>
      </w:pPr>
      <w:r>
        <w:rPr>
          <w:rFonts w:ascii="inter" w:eastAsia="inter" w:hAnsi="inter" w:cs="inter"/>
          <w:color w:val="000000"/>
        </w:rPr>
        <w:t>Für die Schmidhuber Folien GmbH ist die ZÜRS-Klassifizierung des Standorts wichtig, um einzuschätzen, ob und zu welchen Konditionen eine umfassende Naturgefahrenversicherung (z.B. Elementarbaustein) abgeschlossen werden kann.</w:t>
      </w:r>
    </w:p>
    <w:p w14:paraId="732DB3AE" w14:textId="77777777" w:rsidR="00BF6294" w:rsidRDefault="00000000">
      <w:pPr>
        <w:spacing w:before="210" w:after="0" w:line="360" w:lineRule="auto"/>
      </w:pPr>
      <w:r>
        <w:rPr>
          <w:noProof/>
        </w:rPr>
      </w:r>
      <w:r>
        <w:rPr>
          <w:noProof/>
        </w:rPr>
        <w:pict w14:anchorId="1DE62004">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B5317CB" w14:textId="77777777" w:rsidR="00BF6294" w:rsidRDefault="00000000">
      <w:pPr>
        <w:spacing w:before="315" w:after="105" w:line="360" w:lineRule="auto"/>
        <w:ind w:left="-30"/>
      </w:pPr>
      <w:bookmarkStart w:id="3" w:name="frage_4_gebäudetypen_und_risikove_b61b4c"/>
      <w:r>
        <w:rPr>
          <w:rFonts w:ascii="inter" w:eastAsia="inter" w:hAnsi="inter" w:cs="inter"/>
          <w:b/>
          <w:color w:val="000000"/>
          <w:sz w:val="24"/>
        </w:rPr>
        <w:t>Frage 4 – Gebäudetypen und Risikoverbesserung (20 Punkte)</w:t>
      </w:r>
      <w:bookmarkEnd w:id="3"/>
    </w:p>
    <w:p w14:paraId="7DC48AB4" w14:textId="77777777" w:rsidR="00BF6294" w:rsidRDefault="00000000">
      <w:pPr>
        <w:spacing w:after="210" w:line="360" w:lineRule="auto"/>
      </w:pPr>
      <w:r>
        <w:rPr>
          <w:rFonts w:ascii="inter" w:eastAsia="inter" w:hAnsi="inter" w:cs="inter"/>
          <w:color w:val="000000"/>
        </w:rPr>
        <w:t>Der Kunde möchte wissen, ob die Gebäudetypen seines Betriebs Besonderheiten in der Sach-Industriedeckung aufweisen und welche Maßnahmen zur Risikoverbesserung denkbar sind. Im Folgenden werden zwei Gebäudetypen betrachtet.</w:t>
      </w:r>
    </w:p>
    <w:p w14:paraId="780A11ED" w14:textId="77777777" w:rsidR="00BF6294" w:rsidRDefault="00000000">
      <w:pPr>
        <w:spacing w:before="315" w:after="105" w:line="360" w:lineRule="auto"/>
        <w:ind w:left="-30"/>
      </w:pPr>
      <w:bookmarkStart w:id="4" w:name="bm_4_1_gebäude_a_produktion"/>
      <w:r>
        <w:rPr>
          <w:rFonts w:ascii="inter" w:eastAsia="inter" w:hAnsi="inter" w:cs="inter"/>
          <w:b/>
          <w:color w:val="000000"/>
          <w:sz w:val="24"/>
        </w:rPr>
        <w:t>4.1 Gebäude A – Produktion</w:t>
      </w:r>
      <w:bookmarkEnd w:id="4"/>
    </w:p>
    <w:p w14:paraId="355E98B9" w14:textId="77777777" w:rsidR="00BF6294" w:rsidRDefault="00000000">
      <w:pPr>
        <w:spacing w:after="210" w:line="360" w:lineRule="auto"/>
      </w:pPr>
      <w:r>
        <w:rPr>
          <w:rFonts w:ascii="inter" w:eastAsia="inter" w:hAnsi="inter" w:cs="inter"/>
          <w:b/>
          <w:color w:val="000000"/>
        </w:rPr>
        <w:t>Besonderheiten in der Sach-Industriedeckung:</w:t>
      </w:r>
      <w:r>
        <w:rPr>
          <w:rFonts w:ascii="inter" w:eastAsia="inter" w:hAnsi="inter" w:cs="inter"/>
          <w:color w:val="000000"/>
        </w:rPr>
        <w:br/>
        <w:t>Gebäude A beherbergt die hochwertigen Maschinen für die Blasfolienherstellung. Es ist damit das Herzstück der Wertschöpfungskette. Hier besteht:</w:t>
      </w:r>
    </w:p>
    <w:p w14:paraId="0915D324" w14:textId="77777777" w:rsidR="00BF6294" w:rsidRDefault="00000000">
      <w:pPr>
        <w:numPr>
          <w:ilvl w:val="0"/>
          <w:numId w:val="4"/>
        </w:numPr>
        <w:spacing w:before="105" w:after="105" w:line="360" w:lineRule="auto"/>
      </w:pPr>
      <w:r>
        <w:rPr>
          <w:rFonts w:ascii="inter" w:eastAsia="inter" w:hAnsi="inter" w:cs="inter"/>
          <w:color w:val="000000"/>
        </w:rPr>
        <w:lastRenderedPageBreak/>
        <w:t>Eine hohe Konzentration von Sachwerten (teure Maschinen, Vorräte an Halbfertigwaren).</w:t>
      </w:r>
    </w:p>
    <w:p w14:paraId="2551CF11" w14:textId="77777777" w:rsidR="00BF6294" w:rsidRDefault="00000000">
      <w:pPr>
        <w:numPr>
          <w:ilvl w:val="0"/>
          <w:numId w:val="4"/>
        </w:numPr>
        <w:spacing w:before="105" w:after="105" w:line="360" w:lineRule="auto"/>
      </w:pPr>
      <w:r>
        <w:rPr>
          <w:rFonts w:ascii="inter" w:eastAsia="inter" w:hAnsi="inter" w:cs="inter"/>
          <w:color w:val="000000"/>
        </w:rPr>
        <w:t>Ein erhöhtes Brandrisiko, da thermoplastische Kunststoffe verarbeitet werden und hohe Prozesstemperaturen sowie komplexe elektrische Anlagen vorhanden sind.</w:t>
      </w:r>
    </w:p>
    <w:p w14:paraId="4E81817D" w14:textId="77777777" w:rsidR="00BF6294" w:rsidRDefault="00000000">
      <w:pPr>
        <w:numPr>
          <w:ilvl w:val="0"/>
          <w:numId w:val="4"/>
        </w:numPr>
        <w:spacing w:before="105" w:after="105" w:line="360" w:lineRule="auto"/>
      </w:pPr>
      <w:r>
        <w:rPr>
          <w:rFonts w:ascii="inter" w:eastAsia="inter" w:hAnsi="inter" w:cs="inter"/>
          <w:color w:val="000000"/>
        </w:rPr>
        <w:t>Eine enge Verknüpfung mit der Betriebsunterbrechungsgefahr: Ein Schaden in Gebäude A führt fast zwangsläufig zu Produktionsausfällen und damit zu erheblichen FBU-Schäden.</w:t>
      </w:r>
    </w:p>
    <w:p w14:paraId="595168BB" w14:textId="77777777" w:rsidR="00BF6294" w:rsidRDefault="00000000">
      <w:pPr>
        <w:spacing w:after="210" w:line="360" w:lineRule="auto"/>
      </w:pPr>
      <w:r>
        <w:rPr>
          <w:rFonts w:ascii="inter" w:eastAsia="inter" w:hAnsi="inter" w:cs="inter"/>
          <w:b/>
          <w:color w:val="000000"/>
        </w:rPr>
        <w:t>Maßnahme zur Risikoverbesserung (aus Sicht PROXIMUS):</w:t>
      </w:r>
      <w:r>
        <w:rPr>
          <w:rFonts w:ascii="inter" w:eastAsia="inter" w:hAnsi="inter" w:cs="inter"/>
          <w:color w:val="000000"/>
        </w:rPr>
        <w:br/>
        <w:t xml:space="preserve">Eine sinnvolle Maßnahme ist die </w:t>
      </w:r>
      <w:r>
        <w:rPr>
          <w:rFonts w:ascii="inter" w:eastAsia="inter" w:hAnsi="inter" w:cs="inter"/>
          <w:b/>
          <w:color w:val="000000"/>
        </w:rPr>
        <w:t>Installation und konsequente Wartung einer automatischen Brandmelde- und Löschanlage (z.B. Sprinkleranlage)</w:t>
      </w:r>
      <w:r>
        <w:rPr>
          <w:rFonts w:ascii="inter" w:eastAsia="inter" w:hAnsi="inter" w:cs="inter"/>
          <w:color w:val="000000"/>
        </w:rPr>
        <w:t>.</w:t>
      </w:r>
      <w:r>
        <w:rPr>
          <w:rFonts w:ascii="inter" w:eastAsia="inter" w:hAnsi="inter" w:cs="inter"/>
          <w:color w:val="000000"/>
        </w:rPr>
        <w:br/>
        <w:t>Diese trägt dazu bei, Brände frühzeitig zu erkennen und automatisch zu bekämpfen, bevor sie sich auf die gesamte Produktionshalle ausweiten. Versicherer honorieren solche risikomindernden Einrichtungen in der Regel durch günstigere Prämien oder bessere Annahmekonditionen.</w:t>
      </w:r>
    </w:p>
    <w:p w14:paraId="232BC359" w14:textId="77777777" w:rsidR="00BF6294" w:rsidRDefault="00000000">
      <w:pPr>
        <w:spacing w:before="315" w:after="105" w:line="360" w:lineRule="auto"/>
        <w:ind w:left="-30"/>
      </w:pPr>
      <w:bookmarkStart w:id="5" w:name="bm_4_2_gebäude_b_wareneingangslager"/>
      <w:r>
        <w:rPr>
          <w:rFonts w:ascii="inter" w:eastAsia="inter" w:hAnsi="inter" w:cs="inter"/>
          <w:b/>
          <w:color w:val="000000"/>
          <w:sz w:val="24"/>
        </w:rPr>
        <w:t>4.2 Gebäude B – Wareneingangslager</w:t>
      </w:r>
      <w:bookmarkEnd w:id="5"/>
    </w:p>
    <w:p w14:paraId="60F1F902" w14:textId="77777777" w:rsidR="00BF6294" w:rsidRDefault="00000000">
      <w:pPr>
        <w:spacing w:after="210" w:line="360" w:lineRule="auto"/>
      </w:pPr>
      <w:r>
        <w:rPr>
          <w:rFonts w:ascii="inter" w:eastAsia="inter" w:hAnsi="inter" w:cs="inter"/>
          <w:b/>
          <w:color w:val="000000"/>
        </w:rPr>
        <w:t>Besonderheiten in der Sach-Industriedeckung:</w:t>
      </w:r>
      <w:r>
        <w:rPr>
          <w:rFonts w:ascii="inter" w:eastAsia="inter" w:hAnsi="inter" w:cs="inter"/>
          <w:color w:val="000000"/>
        </w:rPr>
        <w:br/>
        <w:t>Im Wareneingangslager B werden die Rohmaterialien (Kunststoffgranulat in Big-Bags und Kartonagen) bis zu einer Lagerhöhe von 5 m gelagert. Daraus ergeben sich:</w:t>
      </w:r>
    </w:p>
    <w:p w14:paraId="3DEAAD19" w14:textId="77777777" w:rsidR="00BF6294" w:rsidRDefault="00000000">
      <w:pPr>
        <w:numPr>
          <w:ilvl w:val="0"/>
          <w:numId w:val="5"/>
        </w:numPr>
        <w:spacing w:before="105" w:after="105" w:line="360" w:lineRule="auto"/>
      </w:pPr>
      <w:r>
        <w:rPr>
          <w:rFonts w:ascii="inter" w:eastAsia="inter" w:hAnsi="inter" w:cs="inter"/>
          <w:color w:val="000000"/>
        </w:rPr>
        <w:t>Eine hohe Brandlast durch die Kombination aus Kunststoffen und Kartonagen, auch wenn die Stoffe nicht als „leicht entflammbar“ eingestuft werden.</w:t>
      </w:r>
    </w:p>
    <w:p w14:paraId="6EFF7D15" w14:textId="77777777" w:rsidR="00BF6294" w:rsidRDefault="00000000">
      <w:pPr>
        <w:numPr>
          <w:ilvl w:val="0"/>
          <w:numId w:val="5"/>
        </w:numPr>
        <w:spacing w:before="105" w:after="105" w:line="360" w:lineRule="auto"/>
      </w:pPr>
      <w:r>
        <w:rPr>
          <w:rFonts w:ascii="inter" w:eastAsia="inter" w:hAnsi="inter" w:cs="inter"/>
          <w:color w:val="000000"/>
        </w:rPr>
        <w:t>Die Lagerhöhe von 5 m erschwert im Brandfall die Brandbekämpfung und begünstigt eine rasche Brandausbreitung.</w:t>
      </w:r>
    </w:p>
    <w:p w14:paraId="5A6E8923" w14:textId="77777777" w:rsidR="00BF6294" w:rsidRDefault="00000000">
      <w:pPr>
        <w:numPr>
          <w:ilvl w:val="0"/>
          <w:numId w:val="5"/>
        </w:numPr>
        <w:spacing w:before="105" w:after="105" w:line="360" w:lineRule="auto"/>
      </w:pPr>
      <w:r>
        <w:rPr>
          <w:rFonts w:ascii="inter" w:eastAsia="inter" w:hAnsi="inter" w:cs="inter"/>
          <w:color w:val="000000"/>
        </w:rPr>
        <w:t>Bereits vor drei Jahren ist in diesem Bereich ein Brandschaden durch einen technischen Defekt entstanden, weshalb hier ein „vorschadenbelasteter“ Bereich vorliegt, was aus Sicht des Versicherers besonders kritisch ist.</w:t>
      </w:r>
    </w:p>
    <w:p w14:paraId="5D8FDCF4" w14:textId="77777777" w:rsidR="00BF6294" w:rsidRDefault="00000000">
      <w:pPr>
        <w:spacing w:after="210" w:line="360" w:lineRule="auto"/>
      </w:pPr>
      <w:r>
        <w:rPr>
          <w:rFonts w:ascii="inter" w:eastAsia="inter" w:hAnsi="inter" w:cs="inter"/>
          <w:b/>
          <w:color w:val="000000"/>
        </w:rPr>
        <w:t>Maßnahme zur Risikoverbesserung (aus Sicht PROXIMUS):</w:t>
      </w:r>
      <w:r>
        <w:rPr>
          <w:rFonts w:ascii="inter" w:eastAsia="inter" w:hAnsi="inter" w:cs="inter"/>
          <w:color w:val="000000"/>
        </w:rPr>
        <w:br/>
        <w:t xml:space="preserve">Eine geeignete Maßnahme wäre etwa die </w:t>
      </w:r>
      <w:r>
        <w:rPr>
          <w:rFonts w:ascii="inter" w:eastAsia="inter" w:hAnsi="inter" w:cs="inter"/>
          <w:b/>
          <w:color w:val="000000"/>
        </w:rPr>
        <w:t>Optimierung des Lagerkonzepts</w:t>
      </w:r>
      <w:r>
        <w:rPr>
          <w:rFonts w:ascii="inter" w:eastAsia="inter" w:hAnsi="inter" w:cs="inter"/>
          <w:color w:val="000000"/>
        </w:rPr>
        <w:t>, zum Beispiel durch:</w:t>
      </w:r>
    </w:p>
    <w:p w14:paraId="731C634A" w14:textId="77777777" w:rsidR="00BF6294" w:rsidRDefault="00000000">
      <w:pPr>
        <w:numPr>
          <w:ilvl w:val="0"/>
          <w:numId w:val="6"/>
        </w:numPr>
        <w:spacing w:before="105" w:after="105" w:line="360" w:lineRule="auto"/>
      </w:pPr>
      <w:r>
        <w:rPr>
          <w:rFonts w:ascii="inter" w:eastAsia="inter" w:hAnsi="inter" w:cs="inter"/>
          <w:color w:val="000000"/>
        </w:rPr>
        <w:t>Begrenzung der Lagerhöhe,</w:t>
      </w:r>
    </w:p>
    <w:p w14:paraId="231A083E" w14:textId="77777777" w:rsidR="00BF6294" w:rsidRDefault="00000000">
      <w:pPr>
        <w:numPr>
          <w:ilvl w:val="0"/>
          <w:numId w:val="6"/>
        </w:numPr>
        <w:spacing w:before="105" w:after="105" w:line="360" w:lineRule="auto"/>
      </w:pPr>
      <w:r>
        <w:rPr>
          <w:rFonts w:ascii="inter" w:eastAsia="inter" w:hAnsi="inter" w:cs="inter"/>
          <w:color w:val="000000"/>
        </w:rPr>
        <w:t>Bildung von Brandabschnitten,</w:t>
      </w:r>
    </w:p>
    <w:p w14:paraId="38BAFDD4" w14:textId="77777777" w:rsidR="00BF6294" w:rsidRDefault="00000000">
      <w:pPr>
        <w:numPr>
          <w:ilvl w:val="0"/>
          <w:numId w:val="6"/>
        </w:numPr>
        <w:spacing w:before="105" w:after="105" w:line="360" w:lineRule="auto"/>
      </w:pPr>
      <w:r>
        <w:rPr>
          <w:rFonts w:ascii="inter" w:eastAsia="inter" w:hAnsi="inter" w:cs="inter"/>
          <w:color w:val="000000"/>
        </w:rPr>
        <w:t xml:space="preserve">sowie die Installation einer geeigneten </w:t>
      </w:r>
      <w:r>
        <w:rPr>
          <w:rFonts w:ascii="inter" w:eastAsia="inter" w:hAnsi="inter" w:cs="inter"/>
          <w:b/>
          <w:color w:val="000000"/>
        </w:rPr>
        <w:t>Brandmeldeanlage mit automatischer Alarmweiterleitung</w:t>
      </w:r>
      <w:r>
        <w:rPr>
          <w:rFonts w:ascii="inter" w:eastAsia="inter" w:hAnsi="inter" w:cs="inter"/>
          <w:color w:val="000000"/>
        </w:rPr>
        <w:t xml:space="preserve"> an eine ständig besetzte Stelle oder die Feuerwehr.</w:t>
      </w:r>
    </w:p>
    <w:p w14:paraId="78A8768B" w14:textId="77777777" w:rsidR="00BF6294" w:rsidRDefault="00000000">
      <w:pPr>
        <w:spacing w:after="210" w:line="360" w:lineRule="auto"/>
      </w:pPr>
      <w:r>
        <w:rPr>
          <w:rFonts w:ascii="inter" w:eastAsia="inter" w:hAnsi="inter" w:cs="inter"/>
          <w:color w:val="000000"/>
        </w:rPr>
        <w:t>Dadurch wird die Brandentstehung zwar nicht verhindert, aber die Brandausbreitung begrenzt und eine schnelle Intervention ermöglicht.</w:t>
      </w:r>
    </w:p>
    <w:p w14:paraId="71D8AC1A" w14:textId="77777777" w:rsidR="00BF6294" w:rsidRDefault="00000000">
      <w:pPr>
        <w:spacing w:before="210" w:after="0" w:line="360" w:lineRule="auto"/>
      </w:pPr>
      <w:r>
        <w:rPr>
          <w:noProof/>
        </w:rPr>
      </w:r>
      <w:r>
        <w:rPr>
          <w:noProof/>
        </w:rPr>
        <w:pict w14:anchorId="282631ED">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04F5A28" w14:textId="77777777" w:rsidR="00BF6294" w:rsidRDefault="00000000">
      <w:pPr>
        <w:spacing w:before="315" w:after="105" w:line="360" w:lineRule="auto"/>
        <w:ind w:left="-30"/>
      </w:pPr>
      <w:bookmarkStart w:id="6" w:name="frage_5_maschinenversicherung_vs_feae9d"/>
      <w:r>
        <w:rPr>
          <w:rFonts w:ascii="inter" w:eastAsia="inter" w:hAnsi="inter" w:cs="inter"/>
          <w:b/>
          <w:color w:val="000000"/>
          <w:sz w:val="24"/>
        </w:rPr>
        <w:t>Frage 5 – Maschinenversicherung vs. Sach-Inhaltsversicherung (10 Punkte)</w:t>
      </w:r>
      <w:bookmarkEnd w:id="6"/>
    </w:p>
    <w:p w14:paraId="1F427BFD" w14:textId="77777777" w:rsidR="00BF6294" w:rsidRDefault="00000000">
      <w:pPr>
        <w:spacing w:before="315" w:after="105" w:line="360" w:lineRule="auto"/>
        <w:ind w:left="-30"/>
      </w:pPr>
      <w:bookmarkStart w:id="7" w:name="bm_5a_zwei_gefahren_die_in_der_sa_c3d194"/>
      <w:r>
        <w:rPr>
          <w:rFonts w:ascii="inter" w:eastAsia="inter" w:hAnsi="inter" w:cs="inter"/>
          <w:b/>
          <w:color w:val="000000"/>
          <w:sz w:val="24"/>
        </w:rPr>
        <w:t>5a) Zwei Gefahren, die in der Sach-Inhaltsversicherung versichert, in der stationären Maschinenversicherung aber ausgeschlossen sind (4 Punkte)</w:t>
      </w:r>
      <w:bookmarkEnd w:id="7"/>
    </w:p>
    <w:p w14:paraId="549B4903" w14:textId="77777777" w:rsidR="00BF6294" w:rsidRDefault="00000000">
      <w:pPr>
        <w:spacing w:after="210" w:line="360" w:lineRule="auto"/>
      </w:pPr>
      <w:r>
        <w:rPr>
          <w:rFonts w:ascii="inter" w:eastAsia="inter" w:hAnsi="inter" w:cs="inter"/>
          <w:color w:val="000000"/>
        </w:rPr>
        <w:t>Zwei typische Beispiele sind:</w:t>
      </w:r>
    </w:p>
    <w:p w14:paraId="644CE974" w14:textId="77777777" w:rsidR="00BF6294" w:rsidRDefault="00000000">
      <w:pPr>
        <w:numPr>
          <w:ilvl w:val="0"/>
          <w:numId w:val="7"/>
        </w:numPr>
        <w:spacing w:after="210" w:line="360" w:lineRule="auto"/>
      </w:pPr>
      <w:r>
        <w:rPr>
          <w:rFonts w:ascii="inter" w:eastAsia="inter" w:hAnsi="inter" w:cs="inter"/>
          <w:b/>
          <w:color w:val="000000"/>
        </w:rPr>
        <w:t>Feuer/Brand</w:t>
      </w:r>
      <w:r>
        <w:rPr>
          <w:rFonts w:ascii="inter" w:eastAsia="inter" w:hAnsi="inter" w:cs="inter"/>
          <w:color w:val="000000"/>
        </w:rPr>
        <w:br/>
        <w:t>Feuer ist eine klassische Grundgefahr der Sach-Inhaltsversicherung. Schäden an Maschinen durch Brand sind dort versichert. In der stationären Maschinenversicherung ist Feuer jedoch als versicherte Gefahr ausdrücklich ausgeschlossen.</w:t>
      </w:r>
    </w:p>
    <w:p w14:paraId="75A50086" w14:textId="77777777" w:rsidR="00BF6294" w:rsidRDefault="00000000">
      <w:pPr>
        <w:numPr>
          <w:ilvl w:val="0"/>
          <w:numId w:val="7"/>
        </w:numPr>
        <w:spacing w:after="210" w:line="360" w:lineRule="auto"/>
      </w:pPr>
      <w:r>
        <w:rPr>
          <w:rFonts w:ascii="inter" w:eastAsia="inter" w:hAnsi="inter" w:cs="inter"/>
          <w:b/>
          <w:color w:val="000000"/>
        </w:rPr>
        <w:t>Einbruchdiebstahl/Vandalismus</w:t>
      </w:r>
      <w:r>
        <w:rPr>
          <w:rFonts w:ascii="inter" w:eastAsia="inter" w:hAnsi="inter" w:cs="inter"/>
          <w:color w:val="000000"/>
        </w:rPr>
        <w:br/>
        <w:t>In der Sach-Inhaltsversicherung können Schäden durch Einbruchdiebstahl und daraus resultierende Vandalismusschäden an der Betriebseinrichtung versichert sein. In der Maschinenversicherung für stationäre Maschinen sind solche Gefahren regelmäßig nicht eingeschlossen.</w:t>
      </w:r>
    </w:p>
    <w:p w14:paraId="5611F869" w14:textId="77777777" w:rsidR="00BF6294" w:rsidRDefault="00000000">
      <w:pPr>
        <w:spacing w:before="315" w:after="105" w:line="360" w:lineRule="auto"/>
        <w:ind w:left="-30"/>
      </w:pPr>
      <w:bookmarkStart w:id="8" w:name="bm_5b_begründung_für_diese_aussch_b55e10"/>
      <w:r>
        <w:rPr>
          <w:rFonts w:ascii="inter" w:eastAsia="inter" w:hAnsi="inter" w:cs="inter"/>
          <w:b/>
          <w:color w:val="000000"/>
          <w:sz w:val="24"/>
        </w:rPr>
        <w:t>5b) Begründung für diese Ausschlüsse (6 Punkte)</w:t>
      </w:r>
      <w:bookmarkEnd w:id="8"/>
    </w:p>
    <w:p w14:paraId="0A73A4FF" w14:textId="77777777" w:rsidR="00BF6294" w:rsidRDefault="00000000">
      <w:pPr>
        <w:spacing w:after="210" w:line="360" w:lineRule="auto"/>
      </w:pPr>
      <w:r>
        <w:rPr>
          <w:rFonts w:ascii="inter" w:eastAsia="inter" w:hAnsi="inter" w:cs="inter"/>
          <w:color w:val="000000"/>
        </w:rPr>
        <w:t xml:space="preserve">Die stationäre Maschinenversicherung hat einen anderen Deckungsansatz als die Sach-Inhaltsversicherung. Sie ist in erster Linie eine </w:t>
      </w:r>
      <w:r>
        <w:rPr>
          <w:rFonts w:ascii="inter" w:eastAsia="inter" w:hAnsi="inter" w:cs="inter"/>
          <w:b/>
          <w:color w:val="000000"/>
        </w:rPr>
        <w:t>Allgefahrenversicherung für innere Schäden an den Maschinen</w:t>
      </w:r>
      <w:r>
        <w:rPr>
          <w:rFonts w:ascii="inter" w:eastAsia="inter" w:hAnsi="inter" w:cs="inter"/>
          <w:color w:val="000000"/>
        </w:rPr>
        <w:t>, die aus dem Betrieb selbst resultieren, etwa durch:</w:t>
      </w:r>
    </w:p>
    <w:p w14:paraId="118D7DBE" w14:textId="77777777" w:rsidR="00BF6294" w:rsidRDefault="00000000">
      <w:pPr>
        <w:numPr>
          <w:ilvl w:val="0"/>
          <w:numId w:val="8"/>
        </w:numPr>
        <w:spacing w:before="105" w:after="105" w:line="360" w:lineRule="auto"/>
      </w:pPr>
      <w:r>
        <w:rPr>
          <w:rFonts w:ascii="inter" w:eastAsia="inter" w:hAnsi="inter" w:cs="inter"/>
          <w:color w:val="000000"/>
        </w:rPr>
        <w:t>Konstruktionsfehler,</w:t>
      </w:r>
    </w:p>
    <w:p w14:paraId="7C1D90DA" w14:textId="77777777" w:rsidR="00BF6294" w:rsidRDefault="00000000">
      <w:pPr>
        <w:numPr>
          <w:ilvl w:val="0"/>
          <w:numId w:val="8"/>
        </w:numPr>
        <w:spacing w:before="105" w:after="105" w:line="360" w:lineRule="auto"/>
      </w:pPr>
      <w:r>
        <w:rPr>
          <w:rFonts w:ascii="inter" w:eastAsia="inter" w:hAnsi="inter" w:cs="inter"/>
          <w:color w:val="000000"/>
        </w:rPr>
        <w:t>Bedienungsfehler,</w:t>
      </w:r>
    </w:p>
    <w:p w14:paraId="154AE931" w14:textId="77777777" w:rsidR="00BF6294" w:rsidRDefault="00000000">
      <w:pPr>
        <w:numPr>
          <w:ilvl w:val="0"/>
          <w:numId w:val="8"/>
        </w:numPr>
        <w:spacing w:before="105" w:after="105" w:line="360" w:lineRule="auto"/>
      </w:pPr>
      <w:r>
        <w:rPr>
          <w:rFonts w:ascii="inter" w:eastAsia="inter" w:hAnsi="inter" w:cs="inter"/>
          <w:color w:val="000000"/>
        </w:rPr>
        <w:t>Materialfehler,</w:t>
      </w:r>
    </w:p>
    <w:p w14:paraId="75E0C926" w14:textId="77777777" w:rsidR="00BF6294" w:rsidRDefault="00000000">
      <w:pPr>
        <w:numPr>
          <w:ilvl w:val="0"/>
          <w:numId w:val="8"/>
        </w:numPr>
        <w:spacing w:before="105" w:after="105" w:line="360" w:lineRule="auto"/>
      </w:pPr>
      <w:r>
        <w:rPr>
          <w:rFonts w:ascii="inter" w:eastAsia="inter" w:hAnsi="inter" w:cs="inter"/>
          <w:color w:val="000000"/>
        </w:rPr>
        <w:t>Überlastung oder mechanische Beschädigung.</w:t>
      </w:r>
    </w:p>
    <w:p w14:paraId="4B91BA87" w14:textId="77777777" w:rsidR="00BF6294" w:rsidRDefault="00000000">
      <w:pPr>
        <w:spacing w:after="210" w:line="360" w:lineRule="auto"/>
      </w:pPr>
      <w:r>
        <w:rPr>
          <w:rFonts w:ascii="inter" w:eastAsia="inter" w:hAnsi="inter" w:cs="inter"/>
          <w:b/>
          <w:color w:val="000000"/>
        </w:rPr>
        <w:t>Feuer</w:t>
      </w:r>
      <w:r>
        <w:rPr>
          <w:rFonts w:ascii="inter" w:eastAsia="inter" w:hAnsi="inter" w:cs="inter"/>
          <w:color w:val="000000"/>
        </w:rPr>
        <w:t xml:space="preserve"> wird daher ausgeschlossen, weil es als externe Gefahr im Rahmen der Feuerversicherung bzw. der Sach-Inhaltsversicherung abgesichert wird. Es handelt sich nicht um einen typischen „inneren Maschinenschaden“, sondern um eine </w:t>
      </w:r>
      <w:proofErr w:type="gramStart"/>
      <w:r>
        <w:rPr>
          <w:rFonts w:ascii="inter" w:eastAsia="inter" w:hAnsi="inter" w:cs="inter"/>
          <w:color w:val="000000"/>
        </w:rPr>
        <w:t>von außen einwirkende Gefahr</w:t>
      </w:r>
      <w:proofErr w:type="gramEnd"/>
      <w:r>
        <w:rPr>
          <w:rFonts w:ascii="inter" w:eastAsia="inter" w:hAnsi="inter" w:cs="inter"/>
          <w:color w:val="000000"/>
        </w:rPr>
        <w:t>, die separat gedeckt wird. So werden Überschneidungen und Doppelversicherungen vermieden.</w:t>
      </w:r>
    </w:p>
    <w:p w14:paraId="30ADB379" w14:textId="77777777" w:rsidR="00BF6294" w:rsidRDefault="00000000">
      <w:pPr>
        <w:spacing w:after="210" w:line="360" w:lineRule="auto"/>
      </w:pPr>
      <w:r>
        <w:rPr>
          <w:rFonts w:ascii="inter" w:eastAsia="inter" w:hAnsi="inter" w:cs="inter"/>
          <w:b/>
          <w:color w:val="000000"/>
        </w:rPr>
        <w:t>Einbruchdiebstahl/Vandalismus</w:t>
      </w:r>
      <w:r>
        <w:rPr>
          <w:rFonts w:ascii="inter" w:eastAsia="inter" w:hAnsi="inter" w:cs="inter"/>
          <w:color w:val="000000"/>
        </w:rPr>
        <w:t xml:space="preserve"> sind ebenfalls äußere Einwirkungen, die eher in den Bereich der Einbruch- und Inhaltsversicherungen fallen. Die Maschinenversicherung konzentriert sich bewusst auf die </w:t>
      </w:r>
      <w:r>
        <w:rPr>
          <w:rFonts w:ascii="inter" w:eastAsia="inter" w:hAnsi="inter" w:cs="inter"/>
          <w:color w:val="000000"/>
        </w:rPr>
        <w:lastRenderedPageBreak/>
        <w:t>technischen, inneren Gefahren der Maschinen. Schäden durch Einbrecher oder mutwillige Zerstörung werden deshalb in der Regel nicht über die Maschinenversicherung, sondern über die entsprechenden Sach-/Einbruchdeckungen geregelt.</w:t>
      </w:r>
    </w:p>
    <w:p w14:paraId="12CAE80D" w14:textId="77777777" w:rsidR="00BF6294" w:rsidRDefault="00000000">
      <w:pPr>
        <w:spacing w:before="210" w:after="0" w:line="360" w:lineRule="auto"/>
      </w:pPr>
      <w:r>
        <w:rPr>
          <w:noProof/>
        </w:rPr>
      </w:r>
      <w:r>
        <w:rPr>
          <w:noProof/>
        </w:rPr>
        <w:pict w14:anchorId="6FC2D5FB">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D34EBF4" w14:textId="77777777" w:rsidR="00BF6294" w:rsidRDefault="00000000">
      <w:pPr>
        <w:spacing w:before="315" w:after="105" w:line="360" w:lineRule="auto"/>
        <w:ind w:left="-30"/>
      </w:pPr>
      <w:bookmarkStart w:id="9" w:name="frage_6_firmen_rechtsschutzversic_f9396a"/>
      <w:r>
        <w:rPr>
          <w:rFonts w:ascii="inter" w:eastAsia="inter" w:hAnsi="inter" w:cs="inter"/>
          <w:b/>
          <w:color w:val="000000"/>
          <w:sz w:val="24"/>
        </w:rPr>
        <w:t>Frage 6 – Firmen-Rechtsschutzversicherung (12 Punkte)</w:t>
      </w:r>
      <w:bookmarkEnd w:id="9"/>
    </w:p>
    <w:p w14:paraId="424CB014" w14:textId="77777777" w:rsidR="00BF6294" w:rsidRDefault="00000000">
      <w:pPr>
        <w:spacing w:before="315" w:after="105" w:line="360" w:lineRule="auto"/>
        <w:ind w:left="-30"/>
      </w:pPr>
      <w:bookmarkStart w:id="10" w:name="bm_6a_großer_vorteil_im_rahmen_de_8a0e9c"/>
      <w:r>
        <w:rPr>
          <w:rFonts w:ascii="inter" w:eastAsia="inter" w:hAnsi="inter" w:cs="inter"/>
          <w:b/>
          <w:color w:val="000000"/>
          <w:sz w:val="24"/>
        </w:rPr>
        <w:t>6a) Großer Vorteil im Rahmen des unternehmerischen Risikomanagements (4 Punkte)</w:t>
      </w:r>
      <w:bookmarkEnd w:id="10"/>
    </w:p>
    <w:p w14:paraId="130BD133" w14:textId="77777777" w:rsidR="00BF6294" w:rsidRDefault="00000000">
      <w:pPr>
        <w:spacing w:after="210" w:line="360" w:lineRule="auto"/>
      </w:pPr>
      <w:r>
        <w:rPr>
          <w:rFonts w:ascii="inter" w:eastAsia="inter" w:hAnsi="inter" w:cs="inter"/>
          <w:color w:val="000000"/>
        </w:rPr>
        <w:t xml:space="preserve">Eine Firmen-Rechtsschutzversicherung bietet dem Unternehmen den Vorteil, dass </w:t>
      </w:r>
      <w:r>
        <w:rPr>
          <w:rFonts w:ascii="inter" w:eastAsia="inter" w:hAnsi="inter" w:cs="inter"/>
          <w:b/>
          <w:color w:val="000000"/>
        </w:rPr>
        <w:t>die Kosten für rechtliche Auseinandersetzungen abgedeckt sind</w:t>
      </w:r>
      <w:r>
        <w:rPr>
          <w:rFonts w:ascii="inter" w:eastAsia="inter" w:hAnsi="inter" w:cs="inter"/>
          <w:color w:val="000000"/>
        </w:rPr>
        <w:t>, insbesondere wenn auch der Firmenvertrags-Rechtsschutz eingeschlossen ist.</w:t>
      </w:r>
    </w:p>
    <w:p w14:paraId="47655483" w14:textId="77777777" w:rsidR="00BF6294" w:rsidRDefault="00000000">
      <w:pPr>
        <w:spacing w:after="210" w:line="360" w:lineRule="auto"/>
      </w:pPr>
      <w:r>
        <w:rPr>
          <w:rFonts w:ascii="inter" w:eastAsia="inter" w:hAnsi="inter" w:cs="inter"/>
          <w:color w:val="000000"/>
        </w:rPr>
        <w:t xml:space="preserve">Damit müssen Betriebe keine oder nur eingeschränkte </w:t>
      </w:r>
      <w:r>
        <w:rPr>
          <w:rFonts w:ascii="inter" w:eastAsia="inter" w:hAnsi="inter" w:cs="inter"/>
          <w:b/>
          <w:color w:val="000000"/>
        </w:rPr>
        <w:t>Rückstellungen für Anwalts- und Gerichtskosten</w:t>
      </w:r>
      <w:r>
        <w:rPr>
          <w:rFonts w:ascii="inter" w:eastAsia="inter" w:hAnsi="inter" w:cs="inter"/>
          <w:color w:val="000000"/>
        </w:rPr>
        <w:t xml:space="preserve"> bilden und müssen das finanzielle Risiko eines möglichen Unterliegens im Prozess weniger scheuen. Das stärkt die Rechtssicherheit und Handlungsfähigkeit des Unternehmens im Streitfall und schützt gleichzeitig Liquidität und Eigenkapital.</w:t>
      </w:r>
    </w:p>
    <w:p w14:paraId="15680E45" w14:textId="77777777" w:rsidR="00BF6294" w:rsidRDefault="00000000">
      <w:pPr>
        <w:spacing w:before="315" w:after="105" w:line="360" w:lineRule="auto"/>
        <w:ind w:left="-30"/>
      </w:pPr>
      <w:bookmarkStart w:id="11" w:name="bm_6b_vier_typische_leistungsauss_ea7d10"/>
      <w:r>
        <w:rPr>
          <w:rFonts w:ascii="inter" w:eastAsia="inter" w:hAnsi="inter" w:cs="inter"/>
          <w:b/>
          <w:color w:val="000000"/>
          <w:sz w:val="24"/>
        </w:rPr>
        <w:t>6b) Vier typische Leistungsausschlüsse (8 Punkte)</w:t>
      </w:r>
      <w:bookmarkEnd w:id="11"/>
    </w:p>
    <w:p w14:paraId="53F81706" w14:textId="77777777" w:rsidR="00BF6294" w:rsidRDefault="00000000">
      <w:pPr>
        <w:spacing w:after="210" w:line="360" w:lineRule="auto"/>
      </w:pPr>
      <w:r>
        <w:rPr>
          <w:rFonts w:ascii="inter" w:eastAsia="inter" w:hAnsi="inter" w:cs="inter"/>
          <w:color w:val="000000"/>
        </w:rPr>
        <w:t>Unter Bezugnahme auf ein übliches gewerbliches Rechtsschutz-Bedingungswerk (wie im Hinweis „PROXIMUS Gewerbe, Seiten 362–363“) lassen sich beispielhaft vier Ausschlussbereiche nennen:</w:t>
      </w:r>
    </w:p>
    <w:p w14:paraId="6F983697" w14:textId="77777777" w:rsidR="00BF6294" w:rsidRDefault="00000000">
      <w:pPr>
        <w:numPr>
          <w:ilvl w:val="0"/>
          <w:numId w:val="9"/>
        </w:numPr>
        <w:spacing w:after="210" w:line="360" w:lineRule="auto"/>
      </w:pPr>
      <w:r>
        <w:rPr>
          <w:rFonts w:ascii="inter" w:eastAsia="inter" w:hAnsi="inter" w:cs="inter"/>
          <w:b/>
          <w:color w:val="000000"/>
        </w:rPr>
        <w:t>Vorsätzlich begangene Straftaten oder vorsätzliche Pflichtverletzungen</w:t>
      </w:r>
      <w:r>
        <w:rPr>
          <w:rFonts w:ascii="inter" w:eastAsia="inter" w:hAnsi="inter" w:cs="inter"/>
          <w:color w:val="000000"/>
        </w:rPr>
        <w:br/>
        <w:t>Für Streitigkeiten im Zusammenhang mit vorsätzlicher Gesetzesverletzung durch den Versicherungsnehmer oder dessen Organe besteht in der Regel kein Versicherungsschutz.</w:t>
      </w:r>
    </w:p>
    <w:p w14:paraId="3D7330E6" w14:textId="77777777" w:rsidR="00BF6294" w:rsidRDefault="00000000">
      <w:pPr>
        <w:numPr>
          <w:ilvl w:val="0"/>
          <w:numId w:val="9"/>
        </w:numPr>
        <w:spacing w:after="210" w:line="360" w:lineRule="auto"/>
      </w:pPr>
      <w:r>
        <w:rPr>
          <w:rFonts w:ascii="inter" w:eastAsia="inter" w:hAnsi="inter" w:cs="inter"/>
          <w:b/>
          <w:color w:val="000000"/>
        </w:rPr>
        <w:t>Rechtsstreitigkeiten, deren Ursache vor Versicherungsbeginn liegt</w:t>
      </w:r>
      <w:r>
        <w:rPr>
          <w:rFonts w:ascii="inter" w:eastAsia="inter" w:hAnsi="inter" w:cs="inter"/>
          <w:color w:val="000000"/>
        </w:rPr>
        <w:br/>
        <w:t>Auseinandersetzungen, die bereits vor Abschluss des Rechtsschutzvertrags absehbar oder anhängig waren, sind üblicherweise ausgeschlossen (zeitlicher Ausschluss).</w:t>
      </w:r>
    </w:p>
    <w:p w14:paraId="0727ACB8" w14:textId="77777777" w:rsidR="00BF6294" w:rsidRDefault="00000000">
      <w:pPr>
        <w:numPr>
          <w:ilvl w:val="0"/>
          <w:numId w:val="9"/>
        </w:numPr>
        <w:spacing w:after="210" w:line="360" w:lineRule="auto"/>
      </w:pPr>
      <w:r>
        <w:rPr>
          <w:rFonts w:ascii="inter" w:eastAsia="inter" w:hAnsi="inter" w:cs="inter"/>
          <w:b/>
          <w:color w:val="000000"/>
        </w:rPr>
        <w:t>Streitigkeiten aus bestimmten steuer- oder zollrechtlichen Verfahren</w:t>
      </w:r>
      <w:r>
        <w:rPr>
          <w:rFonts w:ascii="inter" w:eastAsia="inter" w:hAnsi="inter" w:cs="inter"/>
          <w:color w:val="000000"/>
        </w:rPr>
        <w:t>, soweit diese nicht ausdrücklich mitversichert sind</w:t>
      </w:r>
      <w:r>
        <w:rPr>
          <w:rFonts w:ascii="inter" w:eastAsia="inter" w:hAnsi="inter" w:cs="inter"/>
          <w:color w:val="000000"/>
        </w:rPr>
        <w:br/>
        <w:t>Viele gewerbliche Rechtsschutzkonzepte schließen reine Steuerstreitigkeiten oder Zollverfahren aus oder bieten hierfür nur eingeschränkten Schutz.</w:t>
      </w:r>
    </w:p>
    <w:p w14:paraId="1819B50F" w14:textId="77777777" w:rsidR="00BF6294" w:rsidRDefault="00000000">
      <w:pPr>
        <w:numPr>
          <w:ilvl w:val="0"/>
          <w:numId w:val="9"/>
        </w:numPr>
        <w:spacing w:after="210" w:line="360" w:lineRule="auto"/>
      </w:pPr>
      <w:r>
        <w:rPr>
          <w:rFonts w:ascii="inter" w:eastAsia="inter" w:hAnsi="inter" w:cs="inter"/>
          <w:b/>
          <w:color w:val="000000"/>
        </w:rPr>
        <w:lastRenderedPageBreak/>
        <w:t>Bestimmte unternehmensinterne Streitigkeiten oder kollektivrechtliche Auseinandersetzungen</w:t>
      </w:r>
      <w:r>
        <w:rPr>
          <w:rFonts w:ascii="inter" w:eastAsia="inter" w:hAnsi="inter" w:cs="inter"/>
          <w:color w:val="000000"/>
        </w:rPr>
        <w:t>, die nicht vom Deckungsumfang erfasst werden</w:t>
      </w:r>
      <w:r>
        <w:rPr>
          <w:rFonts w:ascii="inter" w:eastAsia="inter" w:hAnsi="inter" w:cs="inter"/>
          <w:color w:val="000000"/>
        </w:rPr>
        <w:br/>
        <w:t>Dazu können z.B. bestimmte Streitigkeiten im Bereich des Gesellschaftsrechts oder bestimmte Innenverhältnisse zwischen Gesellschaftern und Gesellschaft gehören, sofern das Bedingungswerk sie explizit ausschließt.</w:t>
      </w:r>
    </w:p>
    <w:p w14:paraId="2D43CC5A" w14:textId="53BD541F" w:rsidR="00DD28F6" w:rsidRDefault="00000000" w:rsidP="00DD28F6">
      <w:pPr>
        <w:spacing w:after="210" w:line="360" w:lineRule="auto"/>
        <w:rPr>
          <w:rFonts w:ascii="inter" w:eastAsia="inter" w:hAnsi="inter" w:cs="inter"/>
          <w:color w:val="000000"/>
          <w:sz w:val="18"/>
        </w:rPr>
      </w:pPr>
      <w:r>
        <w:rPr>
          <w:rFonts w:ascii="inter" w:eastAsia="inter" w:hAnsi="inter" w:cs="inter"/>
          <w:color w:val="000000"/>
        </w:rPr>
        <w:t>Damit orientieren sich die Ausschlüsse an den im Bedingungswerk geregelten zeitlichen und inhaltlichen Begrenzungen der Leistungspflicht.</w:t>
      </w:r>
    </w:p>
    <w:p w14:paraId="767A47C7" w14:textId="22223CB9" w:rsidR="00BF6294" w:rsidRDefault="00BF6294" w:rsidP="00DD28F6">
      <w:pPr>
        <w:spacing w:after="210" w:line="360" w:lineRule="auto"/>
      </w:pPr>
    </w:p>
    <w:sectPr w:rsidR="00BF6294">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D7A01"/>
    <w:multiLevelType w:val="hybridMultilevel"/>
    <w:tmpl w:val="8AD6BBC6"/>
    <w:lvl w:ilvl="0" w:tplc="1F3224A6">
      <w:start w:val="1"/>
      <w:numFmt w:val="decimal"/>
      <w:lvlText w:val="%1."/>
      <w:lvlJc w:val="left"/>
      <w:pPr>
        <w:tabs>
          <w:tab w:val="num" w:pos="900"/>
        </w:tabs>
        <w:ind w:left="540" w:hanging="360"/>
      </w:pPr>
    </w:lvl>
    <w:lvl w:ilvl="1" w:tplc="6E3432E6">
      <w:numFmt w:val="decimal"/>
      <w:lvlText w:val=""/>
      <w:lvlJc w:val="left"/>
    </w:lvl>
    <w:lvl w:ilvl="2" w:tplc="0D942D92">
      <w:numFmt w:val="decimal"/>
      <w:lvlText w:val=""/>
      <w:lvlJc w:val="left"/>
    </w:lvl>
    <w:lvl w:ilvl="3" w:tplc="ACEC8816">
      <w:numFmt w:val="decimal"/>
      <w:lvlText w:val=""/>
      <w:lvlJc w:val="left"/>
    </w:lvl>
    <w:lvl w:ilvl="4" w:tplc="26A29636">
      <w:numFmt w:val="decimal"/>
      <w:lvlText w:val=""/>
      <w:lvlJc w:val="left"/>
    </w:lvl>
    <w:lvl w:ilvl="5" w:tplc="1CD2EF86">
      <w:numFmt w:val="decimal"/>
      <w:lvlText w:val=""/>
      <w:lvlJc w:val="left"/>
    </w:lvl>
    <w:lvl w:ilvl="6" w:tplc="7A385CEA">
      <w:numFmt w:val="decimal"/>
      <w:lvlText w:val=""/>
      <w:lvlJc w:val="left"/>
    </w:lvl>
    <w:lvl w:ilvl="7" w:tplc="D806D5C8">
      <w:numFmt w:val="decimal"/>
      <w:lvlText w:val=""/>
      <w:lvlJc w:val="left"/>
    </w:lvl>
    <w:lvl w:ilvl="8" w:tplc="D7988B92">
      <w:numFmt w:val="decimal"/>
      <w:lvlText w:val=""/>
      <w:lvlJc w:val="left"/>
    </w:lvl>
  </w:abstractNum>
  <w:abstractNum w:abstractNumId="1" w15:restartNumberingAfterBreak="0">
    <w:nsid w:val="05485046"/>
    <w:multiLevelType w:val="hybridMultilevel"/>
    <w:tmpl w:val="BE8ED696"/>
    <w:lvl w:ilvl="0" w:tplc="EA266096">
      <w:start w:val="1"/>
      <w:numFmt w:val="decimal"/>
      <w:lvlText w:val="%1."/>
      <w:lvlJc w:val="left"/>
      <w:pPr>
        <w:tabs>
          <w:tab w:val="num" w:pos="900"/>
        </w:tabs>
        <w:ind w:left="540" w:hanging="360"/>
      </w:pPr>
    </w:lvl>
    <w:lvl w:ilvl="1" w:tplc="ECD06610">
      <w:numFmt w:val="decimal"/>
      <w:lvlText w:val=""/>
      <w:lvlJc w:val="left"/>
    </w:lvl>
    <w:lvl w:ilvl="2" w:tplc="EA00AB08">
      <w:numFmt w:val="decimal"/>
      <w:lvlText w:val=""/>
      <w:lvlJc w:val="left"/>
    </w:lvl>
    <w:lvl w:ilvl="3" w:tplc="BCC675B4">
      <w:numFmt w:val="decimal"/>
      <w:lvlText w:val=""/>
      <w:lvlJc w:val="left"/>
    </w:lvl>
    <w:lvl w:ilvl="4" w:tplc="070A67DA">
      <w:numFmt w:val="decimal"/>
      <w:lvlText w:val=""/>
      <w:lvlJc w:val="left"/>
    </w:lvl>
    <w:lvl w:ilvl="5" w:tplc="6B807B66">
      <w:numFmt w:val="decimal"/>
      <w:lvlText w:val=""/>
      <w:lvlJc w:val="left"/>
    </w:lvl>
    <w:lvl w:ilvl="6" w:tplc="66566D92">
      <w:numFmt w:val="decimal"/>
      <w:lvlText w:val=""/>
      <w:lvlJc w:val="left"/>
    </w:lvl>
    <w:lvl w:ilvl="7" w:tplc="086A4FA4">
      <w:numFmt w:val="decimal"/>
      <w:lvlText w:val=""/>
      <w:lvlJc w:val="left"/>
    </w:lvl>
    <w:lvl w:ilvl="8" w:tplc="94C25B68">
      <w:numFmt w:val="decimal"/>
      <w:lvlText w:val=""/>
      <w:lvlJc w:val="left"/>
    </w:lvl>
  </w:abstractNum>
  <w:abstractNum w:abstractNumId="2" w15:restartNumberingAfterBreak="0">
    <w:nsid w:val="216E4421"/>
    <w:multiLevelType w:val="hybridMultilevel"/>
    <w:tmpl w:val="C78AA188"/>
    <w:lvl w:ilvl="0" w:tplc="684ECE5E">
      <w:start w:val="1"/>
      <w:numFmt w:val="decimal"/>
      <w:lvlText w:val="%1."/>
      <w:lvlJc w:val="left"/>
      <w:pPr>
        <w:tabs>
          <w:tab w:val="num" w:pos="900"/>
        </w:tabs>
        <w:ind w:left="540" w:hanging="360"/>
      </w:pPr>
    </w:lvl>
    <w:lvl w:ilvl="1" w:tplc="94D889D4">
      <w:numFmt w:val="decimal"/>
      <w:lvlText w:val=""/>
      <w:lvlJc w:val="left"/>
    </w:lvl>
    <w:lvl w:ilvl="2" w:tplc="0B5419E6">
      <w:numFmt w:val="decimal"/>
      <w:lvlText w:val=""/>
      <w:lvlJc w:val="left"/>
    </w:lvl>
    <w:lvl w:ilvl="3" w:tplc="018E2578">
      <w:numFmt w:val="decimal"/>
      <w:lvlText w:val=""/>
      <w:lvlJc w:val="left"/>
    </w:lvl>
    <w:lvl w:ilvl="4" w:tplc="E1643A40">
      <w:numFmt w:val="decimal"/>
      <w:lvlText w:val=""/>
      <w:lvlJc w:val="left"/>
    </w:lvl>
    <w:lvl w:ilvl="5" w:tplc="04BAD4AE">
      <w:numFmt w:val="decimal"/>
      <w:lvlText w:val=""/>
      <w:lvlJc w:val="left"/>
    </w:lvl>
    <w:lvl w:ilvl="6" w:tplc="C172BC76">
      <w:numFmt w:val="decimal"/>
      <w:lvlText w:val=""/>
      <w:lvlJc w:val="left"/>
    </w:lvl>
    <w:lvl w:ilvl="7" w:tplc="9BE653EE">
      <w:numFmt w:val="decimal"/>
      <w:lvlText w:val=""/>
      <w:lvlJc w:val="left"/>
    </w:lvl>
    <w:lvl w:ilvl="8" w:tplc="6D56EA52">
      <w:numFmt w:val="decimal"/>
      <w:lvlText w:val=""/>
      <w:lvlJc w:val="left"/>
    </w:lvl>
  </w:abstractNum>
  <w:abstractNum w:abstractNumId="3" w15:restartNumberingAfterBreak="0">
    <w:nsid w:val="28F50134"/>
    <w:multiLevelType w:val="hybridMultilevel"/>
    <w:tmpl w:val="C2B0621E"/>
    <w:lvl w:ilvl="0" w:tplc="863AC3D8">
      <w:start w:val="1"/>
      <w:numFmt w:val="bullet"/>
      <w:lvlText w:val=""/>
      <w:lvlJc w:val="left"/>
      <w:pPr>
        <w:tabs>
          <w:tab w:val="num" w:pos="900"/>
        </w:tabs>
        <w:ind w:left="540" w:hanging="360"/>
      </w:pPr>
      <w:rPr>
        <w:rFonts w:ascii="Symbol" w:hAnsi="Symbol" w:hint="default"/>
      </w:rPr>
    </w:lvl>
    <w:lvl w:ilvl="1" w:tplc="DECA9862">
      <w:numFmt w:val="decimal"/>
      <w:lvlText w:val=""/>
      <w:lvlJc w:val="left"/>
    </w:lvl>
    <w:lvl w:ilvl="2" w:tplc="541C2CCE">
      <w:numFmt w:val="decimal"/>
      <w:lvlText w:val=""/>
      <w:lvlJc w:val="left"/>
    </w:lvl>
    <w:lvl w:ilvl="3" w:tplc="50983A2A">
      <w:numFmt w:val="decimal"/>
      <w:lvlText w:val=""/>
      <w:lvlJc w:val="left"/>
    </w:lvl>
    <w:lvl w:ilvl="4" w:tplc="B56EE6C4">
      <w:numFmt w:val="decimal"/>
      <w:lvlText w:val=""/>
      <w:lvlJc w:val="left"/>
    </w:lvl>
    <w:lvl w:ilvl="5" w:tplc="6BC256F0">
      <w:numFmt w:val="decimal"/>
      <w:lvlText w:val=""/>
      <w:lvlJc w:val="left"/>
    </w:lvl>
    <w:lvl w:ilvl="6" w:tplc="8B4A24EC">
      <w:numFmt w:val="decimal"/>
      <w:lvlText w:val=""/>
      <w:lvlJc w:val="left"/>
    </w:lvl>
    <w:lvl w:ilvl="7" w:tplc="E5FEE934">
      <w:numFmt w:val="decimal"/>
      <w:lvlText w:val=""/>
      <w:lvlJc w:val="left"/>
    </w:lvl>
    <w:lvl w:ilvl="8" w:tplc="253844EE">
      <w:numFmt w:val="decimal"/>
      <w:lvlText w:val=""/>
      <w:lvlJc w:val="left"/>
    </w:lvl>
  </w:abstractNum>
  <w:abstractNum w:abstractNumId="4" w15:restartNumberingAfterBreak="0">
    <w:nsid w:val="36C979BA"/>
    <w:multiLevelType w:val="hybridMultilevel"/>
    <w:tmpl w:val="610A2D9A"/>
    <w:lvl w:ilvl="0" w:tplc="C7AA675C">
      <w:start w:val="1"/>
      <w:numFmt w:val="decimal"/>
      <w:lvlText w:val="%1."/>
      <w:lvlJc w:val="left"/>
      <w:pPr>
        <w:tabs>
          <w:tab w:val="num" w:pos="900"/>
        </w:tabs>
        <w:ind w:left="540" w:hanging="360"/>
      </w:pPr>
    </w:lvl>
    <w:lvl w:ilvl="1" w:tplc="BB9CCC06">
      <w:numFmt w:val="decimal"/>
      <w:lvlText w:val=""/>
      <w:lvlJc w:val="left"/>
    </w:lvl>
    <w:lvl w:ilvl="2" w:tplc="9C2CB100">
      <w:numFmt w:val="decimal"/>
      <w:lvlText w:val=""/>
      <w:lvlJc w:val="left"/>
    </w:lvl>
    <w:lvl w:ilvl="3" w:tplc="CA2A42BA">
      <w:numFmt w:val="decimal"/>
      <w:lvlText w:val=""/>
      <w:lvlJc w:val="left"/>
    </w:lvl>
    <w:lvl w:ilvl="4" w:tplc="4488A77A">
      <w:numFmt w:val="decimal"/>
      <w:lvlText w:val=""/>
      <w:lvlJc w:val="left"/>
    </w:lvl>
    <w:lvl w:ilvl="5" w:tplc="7CA08EA2">
      <w:numFmt w:val="decimal"/>
      <w:lvlText w:val=""/>
      <w:lvlJc w:val="left"/>
    </w:lvl>
    <w:lvl w:ilvl="6" w:tplc="757220CC">
      <w:numFmt w:val="decimal"/>
      <w:lvlText w:val=""/>
      <w:lvlJc w:val="left"/>
    </w:lvl>
    <w:lvl w:ilvl="7" w:tplc="79009A28">
      <w:numFmt w:val="decimal"/>
      <w:lvlText w:val=""/>
      <w:lvlJc w:val="left"/>
    </w:lvl>
    <w:lvl w:ilvl="8" w:tplc="65F86A8A">
      <w:numFmt w:val="decimal"/>
      <w:lvlText w:val=""/>
      <w:lvlJc w:val="left"/>
    </w:lvl>
  </w:abstractNum>
  <w:abstractNum w:abstractNumId="5" w15:restartNumberingAfterBreak="0">
    <w:nsid w:val="3C3B5BCC"/>
    <w:multiLevelType w:val="hybridMultilevel"/>
    <w:tmpl w:val="BF387BF4"/>
    <w:lvl w:ilvl="0" w:tplc="9AE837EC">
      <w:start w:val="1"/>
      <w:numFmt w:val="bullet"/>
      <w:lvlText w:val=""/>
      <w:lvlJc w:val="left"/>
      <w:pPr>
        <w:tabs>
          <w:tab w:val="num" w:pos="900"/>
        </w:tabs>
        <w:ind w:left="540" w:hanging="360"/>
      </w:pPr>
      <w:rPr>
        <w:rFonts w:ascii="Symbol" w:hAnsi="Symbol" w:hint="default"/>
      </w:rPr>
    </w:lvl>
    <w:lvl w:ilvl="1" w:tplc="A0627E18">
      <w:numFmt w:val="decimal"/>
      <w:lvlText w:val=""/>
      <w:lvlJc w:val="left"/>
    </w:lvl>
    <w:lvl w:ilvl="2" w:tplc="DD3E2186">
      <w:numFmt w:val="decimal"/>
      <w:lvlText w:val=""/>
      <w:lvlJc w:val="left"/>
    </w:lvl>
    <w:lvl w:ilvl="3" w:tplc="9718027A">
      <w:numFmt w:val="decimal"/>
      <w:lvlText w:val=""/>
      <w:lvlJc w:val="left"/>
    </w:lvl>
    <w:lvl w:ilvl="4" w:tplc="508215CE">
      <w:numFmt w:val="decimal"/>
      <w:lvlText w:val=""/>
      <w:lvlJc w:val="left"/>
    </w:lvl>
    <w:lvl w:ilvl="5" w:tplc="C6BA7444">
      <w:numFmt w:val="decimal"/>
      <w:lvlText w:val=""/>
      <w:lvlJc w:val="left"/>
    </w:lvl>
    <w:lvl w:ilvl="6" w:tplc="C2B08300">
      <w:numFmt w:val="decimal"/>
      <w:lvlText w:val=""/>
      <w:lvlJc w:val="left"/>
    </w:lvl>
    <w:lvl w:ilvl="7" w:tplc="FBAEDB92">
      <w:numFmt w:val="decimal"/>
      <w:lvlText w:val=""/>
      <w:lvlJc w:val="left"/>
    </w:lvl>
    <w:lvl w:ilvl="8" w:tplc="0F4EA460">
      <w:numFmt w:val="decimal"/>
      <w:lvlText w:val=""/>
      <w:lvlJc w:val="left"/>
    </w:lvl>
  </w:abstractNum>
  <w:abstractNum w:abstractNumId="6" w15:restartNumberingAfterBreak="0">
    <w:nsid w:val="40553D8E"/>
    <w:multiLevelType w:val="hybridMultilevel"/>
    <w:tmpl w:val="53DC8BB8"/>
    <w:lvl w:ilvl="0" w:tplc="A1385D5C">
      <w:start w:val="1"/>
      <w:numFmt w:val="bullet"/>
      <w:lvlText w:val=""/>
      <w:lvlJc w:val="left"/>
      <w:pPr>
        <w:tabs>
          <w:tab w:val="num" w:pos="900"/>
        </w:tabs>
        <w:ind w:left="540" w:hanging="360"/>
      </w:pPr>
      <w:rPr>
        <w:rFonts w:ascii="Symbol" w:hAnsi="Symbol" w:hint="default"/>
      </w:rPr>
    </w:lvl>
    <w:lvl w:ilvl="1" w:tplc="FF7E167C">
      <w:numFmt w:val="decimal"/>
      <w:lvlText w:val=""/>
      <w:lvlJc w:val="left"/>
    </w:lvl>
    <w:lvl w:ilvl="2" w:tplc="085C1AEE">
      <w:numFmt w:val="decimal"/>
      <w:lvlText w:val=""/>
      <w:lvlJc w:val="left"/>
    </w:lvl>
    <w:lvl w:ilvl="3" w:tplc="736A4ED0">
      <w:numFmt w:val="decimal"/>
      <w:lvlText w:val=""/>
      <w:lvlJc w:val="left"/>
    </w:lvl>
    <w:lvl w:ilvl="4" w:tplc="084A505A">
      <w:numFmt w:val="decimal"/>
      <w:lvlText w:val=""/>
      <w:lvlJc w:val="left"/>
    </w:lvl>
    <w:lvl w:ilvl="5" w:tplc="20D0250E">
      <w:numFmt w:val="decimal"/>
      <w:lvlText w:val=""/>
      <w:lvlJc w:val="left"/>
    </w:lvl>
    <w:lvl w:ilvl="6" w:tplc="E1DE8244">
      <w:numFmt w:val="decimal"/>
      <w:lvlText w:val=""/>
      <w:lvlJc w:val="left"/>
    </w:lvl>
    <w:lvl w:ilvl="7" w:tplc="FA9CE940">
      <w:numFmt w:val="decimal"/>
      <w:lvlText w:val=""/>
      <w:lvlJc w:val="left"/>
    </w:lvl>
    <w:lvl w:ilvl="8" w:tplc="049C2DB4">
      <w:numFmt w:val="decimal"/>
      <w:lvlText w:val=""/>
      <w:lvlJc w:val="left"/>
    </w:lvl>
  </w:abstractNum>
  <w:abstractNum w:abstractNumId="7" w15:restartNumberingAfterBreak="0">
    <w:nsid w:val="4A8F10F1"/>
    <w:multiLevelType w:val="hybridMultilevel"/>
    <w:tmpl w:val="57802ADE"/>
    <w:lvl w:ilvl="0" w:tplc="DA2EADC0">
      <w:numFmt w:val="decimal"/>
      <w:lvlText w:val=""/>
      <w:lvlJc w:val="left"/>
    </w:lvl>
    <w:lvl w:ilvl="1" w:tplc="5032DC56">
      <w:numFmt w:val="decimal"/>
      <w:lvlText w:val=""/>
      <w:lvlJc w:val="left"/>
    </w:lvl>
    <w:lvl w:ilvl="2" w:tplc="7CCE8182">
      <w:numFmt w:val="decimal"/>
      <w:lvlText w:val=""/>
      <w:lvlJc w:val="left"/>
    </w:lvl>
    <w:lvl w:ilvl="3" w:tplc="011E4BBA">
      <w:numFmt w:val="decimal"/>
      <w:lvlText w:val=""/>
      <w:lvlJc w:val="left"/>
    </w:lvl>
    <w:lvl w:ilvl="4" w:tplc="85C66346">
      <w:numFmt w:val="decimal"/>
      <w:lvlText w:val=""/>
      <w:lvlJc w:val="left"/>
    </w:lvl>
    <w:lvl w:ilvl="5" w:tplc="E932DF1A">
      <w:numFmt w:val="decimal"/>
      <w:lvlText w:val=""/>
      <w:lvlJc w:val="left"/>
    </w:lvl>
    <w:lvl w:ilvl="6" w:tplc="A63A8494">
      <w:numFmt w:val="decimal"/>
      <w:lvlText w:val=""/>
      <w:lvlJc w:val="left"/>
    </w:lvl>
    <w:lvl w:ilvl="7" w:tplc="C8563982">
      <w:numFmt w:val="decimal"/>
      <w:lvlText w:val=""/>
      <w:lvlJc w:val="left"/>
    </w:lvl>
    <w:lvl w:ilvl="8" w:tplc="94D2D4D0">
      <w:numFmt w:val="decimal"/>
      <w:lvlText w:val=""/>
      <w:lvlJc w:val="left"/>
    </w:lvl>
  </w:abstractNum>
  <w:abstractNum w:abstractNumId="8" w15:restartNumberingAfterBreak="0">
    <w:nsid w:val="5C7A75BE"/>
    <w:multiLevelType w:val="hybridMultilevel"/>
    <w:tmpl w:val="A01845B4"/>
    <w:lvl w:ilvl="0" w:tplc="919A5680">
      <w:start w:val="1"/>
      <w:numFmt w:val="bullet"/>
      <w:lvlText w:val=""/>
      <w:lvlJc w:val="left"/>
      <w:pPr>
        <w:tabs>
          <w:tab w:val="num" w:pos="900"/>
        </w:tabs>
        <w:ind w:left="540" w:hanging="360"/>
      </w:pPr>
      <w:rPr>
        <w:rFonts w:ascii="Symbol" w:hAnsi="Symbol" w:hint="default"/>
      </w:rPr>
    </w:lvl>
    <w:lvl w:ilvl="1" w:tplc="F3B2A2CE">
      <w:numFmt w:val="decimal"/>
      <w:lvlText w:val=""/>
      <w:lvlJc w:val="left"/>
    </w:lvl>
    <w:lvl w:ilvl="2" w:tplc="2362B69E">
      <w:numFmt w:val="decimal"/>
      <w:lvlText w:val=""/>
      <w:lvlJc w:val="left"/>
    </w:lvl>
    <w:lvl w:ilvl="3" w:tplc="81DC7C16">
      <w:numFmt w:val="decimal"/>
      <w:lvlText w:val=""/>
      <w:lvlJc w:val="left"/>
    </w:lvl>
    <w:lvl w:ilvl="4" w:tplc="D83AA946">
      <w:numFmt w:val="decimal"/>
      <w:lvlText w:val=""/>
      <w:lvlJc w:val="left"/>
    </w:lvl>
    <w:lvl w:ilvl="5" w:tplc="504010AA">
      <w:numFmt w:val="decimal"/>
      <w:lvlText w:val=""/>
      <w:lvlJc w:val="left"/>
    </w:lvl>
    <w:lvl w:ilvl="6" w:tplc="8C203400">
      <w:numFmt w:val="decimal"/>
      <w:lvlText w:val=""/>
      <w:lvlJc w:val="left"/>
    </w:lvl>
    <w:lvl w:ilvl="7" w:tplc="6F34BFF0">
      <w:numFmt w:val="decimal"/>
      <w:lvlText w:val=""/>
      <w:lvlJc w:val="left"/>
    </w:lvl>
    <w:lvl w:ilvl="8" w:tplc="D6AC3394">
      <w:numFmt w:val="decimal"/>
      <w:lvlText w:val=""/>
      <w:lvlJc w:val="left"/>
    </w:lvl>
  </w:abstractNum>
  <w:abstractNum w:abstractNumId="9" w15:restartNumberingAfterBreak="0">
    <w:nsid w:val="5DB23316"/>
    <w:multiLevelType w:val="hybridMultilevel"/>
    <w:tmpl w:val="3788BA9E"/>
    <w:lvl w:ilvl="0" w:tplc="ED323974">
      <w:start w:val="1"/>
      <w:numFmt w:val="decimal"/>
      <w:lvlText w:val="%1."/>
      <w:lvlJc w:val="left"/>
      <w:pPr>
        <w:tabs>
          <w:tab w:val="num" w:pos="900"/>
        </w:tabs>
        <w:ind w:left="540" w:hanging="360"/>
      </w:pPr>
    </w:lvl>
    <w:lvl w:ilvl="1" w:tplc="79BA3346">
      <w:numFmt w:val="decimal"/>
      <w:lvlText w:val=""/>
      <w:lvlJc w:val="left"/>
    </w:lvl>
    <w:lvl w:ilvl="2" w:tplc="7E34FE0E">
      <w:numFmt w:val="decimal"/>
      <w:lvlText w:val=""/>
      <w:lvlJc w:val="left"/>
    </w:lvl>
    <w:lvl w:ilvl="3" w:tplc="0C4E6846">
      <w:numFmt w:val="decimal"/>
      <w:lvlText w:val=""/>
      <w:lvlJc w:val="left"/>
    </w:lvl>
    <w:lvl w:ilvl="4" w:tplc="C91EFCE6">
      <w:numFmt w:val="decimal"/>
      <w:lvlText w:val=""/>
      <w:lvlJc w:val="left"/>
    </w:lvl>
    <w:lvl w:ilvl="5" w:tplc="C95EBF1C">
      <w:numFmt w:val="decimal"/>
      <w:lvlText w:val=""/>
      <w:lvlJc w:val="left"/>
    </w:lvl>
    <w:lvl w:ilvl="6" w:tplc="0B261EE4">
      <w:numFmt w:val="decimal"/>
      <w:lvlText w:val=""/>
      <w:lvlJc w:val="left"/>
    </w:lvl>
    <w:lvl w:ilvl="7" w:tplc="7FC07366">
      <w:numFmt w:val="decimal"/>
      <w:lvlText w:val=""/>
      <w:lvlJc w:val="left"/>
    </w:lvl>
    <w:lvl w:ilvl="8" w:tplc="B33CA930">
      <w:numFmt w:val="decimal"/>
      <w:lvlText w:val=""/>
      <w:lvlJc w:val="left"/>
    </w:lvl>
  </w:abstractNum>
  <w:abstractNum w:abstractNumId="10" w15:restartNumberingAfterBreak="0">
    <w:nsid w:val="68427153"/>
    <w:multiLevelType w:val="hybridMultilevel"/>
    <w:tmpl w:val="7A76A00A"/>
    <w:lvl w:ilvl="0" w:tplc="08C4A7CA">
      <w:start w:val="1"/>
      <w:numFmt w:val="decimal"/>
      <w:lvlText w:val="%1."/>
      <w:lvlJc w:val="left"/>
      <w:pPr>
        <w:tabs>
          <w:tab w:val="num" w:pos="900"/>
        </w:tabs>
        <w:ind w:left="540" w:hanging="360"/>
      </w:pPr>
    </w:lvl>
    <w:lvl w:ilvl="1" w:tplc="7964507E">
      <w:start w:val="1"/>
      <w:numFmt w:val="bullet"/>
      <w:lvlText w:val="o"/>
      <w:lvlJc w:val="left"/>
      <w:pPr>
        <w:tabs>
          <w:tab w:val="num" w:pos="1440"/>
        </w:tabs>
        <w:ind w:left="1080" w:hanging="360"/>
      </w:pPr>
      <w:rPr>
        <w:rFonts w:ascii="Courier New" w:hAnsi="Courier New" w:cs="Courier New" w:hint="default"/>
      </w:rPr>
    </w:lvl>
    <w:lvl w:ilvl="2" w:tplc="6562DB92">
      <w:numFmt w:val="decimal"/>
      <w:lvlText w:val=""/>
      <w:lvlJc w:val="left"/>
    </w:lvl>
    <w:lvl w:ilvl="3" w:tplc="13A636FE">
      <w:numFmt w:val="decimal"/>
      <w:lvlText w:val=""/>
      <w:lvlJc w:val="left"/>
    </w:lvl>
    <w:lvl w:ilvl="4" w:tplc="2AA68FAE">
      <w:numFmt w:val="decimal"/>
      <w:lvlText w:val=""/>
      <w:lvlJc w:val="left"/>
    </w:lvl>
    <w:lvl w:ilvl="5" w:tplc="6F72DB8E">
      <w:numFmt w:val="decimal"/>
      <w:lvlText w:val=""/>
      <w:lvlJc w:val="left"/>
    </w:lvl>
    <w:lvl w:ilvl="6" w:tplc="5782AA8E">
      <w:numFmt w:val="decimal"/>
      <w:lvlText w:val=""/>
      <w:lvlJc w:val="left"/>
    </w:lvl>
    <w:lvl w:ilvl="7" w:tplc="7A1C0C4A">
      <w:numFmt w:val="decimal"/>
      <w:lvlText w:val=""/>
      <w:lvlJc w:val="left"/>
    </w:lvl>
    <w:lvl w:ilvl="8" w:tplc="C7A80832">
      <w:numFmt w:val="decimal"/>
      <w:lvlText w:val=""/>
      <w:lvlJc w:val="left"/>
    </w:lvl>
  </w:abstractNum>
  <w:num w:numId="1" w16cid:durableId="1837302422">
    <w:abstractNumId w:val="10"/>
  </w:num>
  <w:num w:numId="2" w16cid:durableId="2042245308">
    <w:abstractNumId w:val="9"/>
  </w:num>
  <w:num w:numId="3" w16cid:durableId="1960720559">
    <w:abstractNumId w:val="4"/>
  </w:num>
  <w:num w:numId="4" w16cid:durableId="929385468">
    <w:abstractNumId w:val="6"/>
  </w:num>
  <w:num w:numId="5" w16cid:durableId="407844722">
    <w:abstractNumId w:val="8"/>
  </w:num>
  <w:num w:numId="6" w16cid:durableId="2135321356">
    <w:abstractNumId w:val="3"/>
  </w:num>
  <w:num w:numId="7" w16cid:durableId="51465851">
    <w:abstractNumId w:val="2"/>
  </w:num>
  <w:num w:numId="8" w16cid:durableId="1508596737">
    <w:abstractNumId w:val="5"/>
  </w:num>
  <w:num w:numId="9" w16cid:durableId="1845976553">
    <w:abstractNumId w:val="0"/>
  </w:num>
  <w:num w:numId="10" w16cid:durableId="1087922108">
    <w:abstractNumId w:val="7"/>
  </w:num>
  <w:num w:numId="11" w16cid:durableId="1194459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294"/>
    <w:rsid w:val="009710C9"/>
    <w:rsid w:val="00BF6294"/>
    <w:rsid w:val="00DD28F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51AFF622"/>
  <w15:docId w15:val="{CC3AA92E-8A67-46D9-A5E3-38AAC0EC8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de-DE"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1649</Words>
  <Characters>10392</Characters>
  <Application>Microsoft Office Word</Application>
  <DocSecurity>0</DocSecurity>
  <Lines>86</Lines>
  <Paragraphs>24</Paragraphs>
  <ScaleCrop>false</ScaleCrop>
  <Company/>
  <LinksUpToDate>false</LinksUpToDate>
  <CharactersWithSpaces>12017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Strotmann, Matthias</cp:lastModifiedBy>
  <cp:revision>2</cp:revision>
  <dcterms:created xsi:type="dcterms:W3CDTF">2026-01-05T13:54:00Z</dcterms:created>
  <dcterms:modified xsi:type="dcterms:W3CDTF">2026-01-05T13:55:00Z</dcterms:modified>
</cp:coreProperties>
</file>