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2DBA" w14:textId="30943E30" w:rsidR="004058C1" w:rsidRPr="0081064B" w:rsidRDefault="004058C1" w:rsidP="004058C1">
      <w:pPr>
        <w:suppressLineNumbers/>
        <w:rPr>
          <w:rFonts w:ascii="Times New Roman" w:hAnsi="Times New Roman" w:cs="Times New Roman"/>
          <w:bCs/>
          <w:i/>
          <w:iCs/>
          <w:color w:val="000000" w:themeColor="text1"/>
          <w:sz w:val="28"/>
          <w:szCs w:val="36"/>
          <w:lang w:eastAsia="en-GB"/>
        </w:rPr>
      </w:pPr>
      <w:r w:rsidRPr="0081064B">
        <w:rPr>
          <w:rFonts w:ascii="Times New Roman" w:hAnsi="Times New Roman" w:cs="Times New Roman"/>
          <w:bCs/>
          <w:i/>
          <w:iCs/>
          <w:color w:val="000000" w:themeColor="text1"/>
          <w:sz w:val="28"/>
          <w:szCs w:val="36"/>
          <w:lang w:eastAsia="en-GB"/>
        </w:rPr>
        <w:t>Nijmegen School of Management</w:t>
      </w:r>
      <w:r w:rsidRPr="0081064B">
        <w:rPr>
          <w:rFonts w:ascii="Times New Roman" w:hAnsi="Times New Roman" w:cs="Times New Roman"/>
          <w:bCs/>
          <w:i/>
          <w:iCs/>
          <w:color w:val="000000" w:themeColor="text1"/>
          <w:sz w:val="28"/>
          <w:szCs w:val="36"/>
          <w:lang w:eastAsia="en-GB"/>
        </w:rPr>
        <w:br/>
        <w:t>Department of Economics and Business Economics</w:t>
      </w:r>
      <w:r w:rsidRPr="0081064B">
        <w:rPr>
          <w:rFonts w:ascii="Times New Roman" w:hAnsi="Times New Roman" w:cs="Times New Roman"/>
          <w:bCs/>
          <w:i/>
          <w:iCs/>
          <w:color w:val="000000" w:themeColor="text1"/>
          <w:sz w:val="28"/>
          <w:szCs w:val="36"/>
          <w:lang w:eastAsia="en-GB"/>
        </w:rPr>
        <w:br/>
        <w:t>Project: Financial Instruments</w:t>
      </w:r>
    </w:p>
    <w:p w14:paraId="659F0973" w14:textId="11916E6F" w:rsidR="004058C1" w:rsidRPr="00A12137" w:rsidRDefault="004058C1" w:rsidP="004058C1">
      <w:pPr>
        <w:suppressLineNumbers/>
        <w:rPr>
          <w:rFonts w:ascii="Times New Roman" w:hAnsi="Times New Roman" w:cs="Times New Roman"/>
          <w:b/>
          <w:color w:val="000000" w:themeColor="text1"/>
          <w:sz w:val="28"/>
          <w:szCs w:val="36"/>
          <w:lang w:eastAsia="en-GB"/>
        </w:rPr>
      </w:pPr>
    </w:p>
    <w:p w14:paraId="0CA9D12B" w14:textId="6435C6C1" w:rsidR="004058C1" w:rsidRPr="00A12137" w:rsidRDefault="004058C1">
      <w:pPr>
        <w:rPr>
          <w:rFonts w:ascii="Times New Roman" w:hAnsi="Times New Roman" w:cs="Times New Roman"/>
          <w:color w:val="000000" w:themeColor="text1"/>
          <w:sz w:val="56"/>
          <w:szCs w:val="56"/>
        </w:rPr>
      </w:pPr>
    </w:p>
    <w:p w14:paraId="2E101C20" w14:textId="2A38CDCD" w:rsidR="00BD5365" w:rsidRPr="00A12137" w:rsidRDefault="00BD5365">
      <w:pPr>
        <w:rPr>
          <w:rFonts w:ascii="Times New Roman" w:hAnsi="Times New Roman" w:cs="Times New Roman"/>
          <w:color w:val="000000" w:themeColor="text1"/>
          <w:sz w:val="56"/>
          <w:szCs w:val="56"/>
        </w:rPr>
      </w:pPr>
    </w:p>
    <w:p w14:paraId="64C6BCC7" w14:textId="4C6FAABA" w:rsidR="00F05444" w:rsidRPr="00A12137" w:rsidRDefault="00F05444">
      <w:pPr>
        <w:rPr>
          <w:rFonts w:ascii="Times New Roman" w:hAnsi="Times New Roman" w:cs="Times New Roman"/>
          <w:color w:val="000000" w:themeColor="text1"/>
          <w:sz w:val="48"/>
          <w:szCs w:val="48"/>
        </w:rPr>
      </w:pPr>
    </w:p>
    <w:p w14:paraId="6F0FE6D5" w14:textId="03393ADF" w:rsidR="003307A6" w:rsidRDefault="003307A6">
      <w:pPr>
        <w:rPr>
          <w:rFonts w:ascii="Times New Roman" w:hAnsi="Times New Roman" w:cs="Times New Roman"/>
          <w:color w:val="000000" w:themeColor="text1"/>
          <w:sz w:val="48"/>
          <w:szCs w:val="48"/>
        </w:rPr>
      </w:pPr>
    </w:p>
    <w:p w14:paraId="2C5300E6" w14:textId="77777777" w:rsidR="003307A6" w:rsidRDefault="003307A6">
      <w:pPr>
        <w:rPr>
          <w:rFonts w:ascii="Times New Roman" w:hAnsi="Times New Roman" w:cs="Times New Roman"/>
          <w:color w:val="000000" w:themeColor="text1"/>
          <w:sz w:val="48"/>
          <w:szCs w:val="48"/>
        </w:rPr>
      </w:pPr>
    </w:p>
    <w:p w14:paraId="48E4A7A0" w14:textId="77777777" w:rsidR="003307A6" w:rsidRDefault="003307A6">
      <w:pPr>
        <w:rPr>
          <w:rFonts w:ascii="Times New Roman" w:hAnsi="Times New Roman" w:cs="Times New Roman"/>
          <w:color w:val="000000" w:themeColor="text1"/>
          <w:sz w:val="48"/>
          <w:szCs w:val="48"/>
        </w:rPr>
      </w:pPr>
    </w:p>
    <w:p w14:paraId="6D614A73" w14:textId="134EC0FB" w:rsidR="004058C1" w:rsidRPr="0081064B" w:rsidRDefault="003B6A08" w:rsidP="0081064B">
      <w:pPr>
        <w:jc w:val="center"/>
        <w:rPr>
          <w:rFonts w:ascii="Times New Roman" w:hAnsi="Times New Roman" w:cs="Times New Roman"/>
          <w:b/>
          <w:bCs/>
          <w:color w:val="000000" w:themeColor="text1"/>
          <w:sz w:val="48"/>
          <w:szCs w:val="48"/>
        </w:rPr>
      </w:pPr>
      <w:r w:rsidRPr="0081064B">
        <w:rPr>
          <w:rFonts w:ascii="Times New Roman" w:hAnsi="Times New Roman" w:cs="Times New Roman"/>
          <w:b/>
          <w:bCs/>
          <w:color w:val="000000" w:themeColor="text1"/>
          <w:sz w:val="48"/>
          <w:szCs w:val="48"/>
        </w:rPr>
        <w:t>Analysis of TSMC</w:t>
      </w:r>
      <w:r w:rsidR="00F05444" w:rsidRPr="0081064B">
        <w:rPr>
          <w:rFonts w:ascii="Times New Roman" w:hAnsi="Times New Roman" w:cs="Times New Roman"/>
          <w:b/>
          <w:bCs/>
          <w:color w:val="000000" w:themeColor="text1"/>
          <w:sz w:val="48"/>
          <w:szCs w:val="48"/>
        </w:rPr>
        <w:t>’s Financial and Strategic Risks</w:t>
      </w:r>
    </w:p>
    <w:p w14:paraId="18855755" w14:textId="77777777" w:rsidR="00BD5365" w:rsidRPr="00A12137" w:rsidRDefault="00BD5365">
      <w:pPr>
        <w:rPr>
          <w:rFonts w:ascii="Times New Roman" w:hAnsi="Times New Roman" w:cs="Times New Roman"/>
          <w:color w:val="000000" w:themeColor="text1"/>
          <w:sz w:val="28"/>
          <w:szCs w:val="28"/>
        </w:rPr>
      </w:pPr>
    </w:p>
    <w:p w14:paraId="5742F871" w14:textId="77777777" w:rsidR="00BD5365" w:rsidRPr="00A12137" w:rsidRDefault="00BD5365">
      <w:pPr>
        <w:rPr>
          <w:rFonts w:ascii="Times New Roman" w:hAnsi="Times New Roman" w:cs="Times New Roman"/>
          <w:color w:val="000000" w:themeColor="text1"/>
          <w:sz w:val="28"/>
          <w:szCs w:val="28"/>
        </w:rPr>
      </w:pPr>
    </w:p>
    <w:p w14:paraId="5F37A729" w14:textId="27AC8B9C" w:rsidR="00BD5365" w:rsidRPr="00A12137" w:rsidRDefault="0081064B" w:rsidP="0081064B">
      <w:pPr>
        <w:jc w:val="center"/>
        <w:rPr>
          <w:rFonts w:ascii="Times New Roman" w:hAnsi="Times New Roman" w:cs="Times New Roman"/>
          <w:color w:val="000000" w:themeColor="text1"/>
          <w:sz w:val="28"/>
          <w:szCs w:val="28"/>
        </w:rPr>
      </w:pPr>
      <w:r>
        <w:fldChar w:fldCharType="begin"/>
      </w:r>
      <w:r>
        <w:instrText xml:space="preserve"> INCLUDEPICTURE "/Users/matyasvarga-etele/Library/Group Containers/UBF8T346G9.ms/WebArchiveCopyPasteTempFiles/com.microsoft.Word/TSMC-Logo.jpg" \* MERGEFORMATINET </w:instrText>
      </w:r>
      <w:r>
        <w:fldChar w:fldCharType="separate"/>
      </w:r>
      <w:r>
        <w:rPr>
          <w:noProof/>
        </w:rPr>
        <w:drawing>
          <wp:inline distT="0" distB="0" distL="0" distR="0" wp14:anchorId="2174A150" wp14:editId="7F3DFBF5">
            <wp:extent cx="3402896" cy="2141034"/>
            <wp:effectExtent l="0" t="0" r="1270" b="5715"/>
            <wp:docPr id="40005409" name="Picture 13" descr="TSMC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SMC Logo and symbol, meaning, history, 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2588" cy="2159716"/>
                    </a:xfrm>
                    <a:prstGeom prst="rect">
                      <a:avLst/>
                    </a:prstGeom>
                    <a:noFill/>
                    <a:ln>
                      <a:noFill/>
                    </a:ln>
                  </pic:spPr>
                </pic:pic>
              </a:graphicData>
            </a:graphic>
          </wp:inline>
        </w:drawing>
      </w:r>
      <w:r>
        <w:fldChar w:fldCharType="end"/>
      </w:r>
    </w:p>
    <w:p w14:paraId="36447183" w14:textId="77777777" w:rsidR="00BD5365" w:rsidRPr="00A12137" w:rsidRDefault="00BD5365">
      <w:pPr>
        <w:rPr>
          <w:rFonts w:ascii="Times New Roman" w:hAnsi="Times New Roman" w:cs="Times New Roman"/>
          <w:color w:val="000000" w:themeColor="text1"/>
          <w:sz w:val="28"/>
          <w:szCs w:val="28"/>
        </w:rPr>
      </w:pPr>
    </w:p>
    <w:p w14:paraId="37649784" w14:textId="77777777" w:rsidR="00BD5365" w:rsidRPr="00A12137" w:rsidRDefault="00BD5365">
      <w:pPr>
        <w:rPr>
          <w:rFonts w:ascii="Times New Roman" w:hAnsi="Times New Roman" w:cs="Times New Roman"/>
          <w:color w:val="000000" w:themeColor="text1"/>
          <w:sz w:val="28"/>
          <w:szCs w:val="28"/>
        </w:rPr>
      </w:pPr>
    </w:p>
    <w:p w14:paraId="3924C0A0" w14:textId="77777777" w:rsidR="00BD5365" w:rsidRPr="00A12137" w:rsidRDefault="00BD5365">
      <w:pPr>
        <w:rPr>
          <w:rFonts w:ascii="Times New Roman" w:hAnsi="Times New Roman" w:cs="Times New Roman"/>
          <w:color w:val="000000" w:themeColor="text1"/>
          <w:sz w:val="28"/>
          <w:szCs w:val="28"/>
        </w:rPr>
      </w:pPr>
    </w:p>
    <w:p w14:paraId="2CAD915B" w14:textId="77777777" w:rsidR="00BD5365" w:rsidRPr="00A12137" w:rsidRDefault="00BD5365">
      <w:pPr>
        <w:rPr>
          <w:rFonts w:ascii="Times New Roman" w:hAnsi="Times New Roman" w:cs="Times New Roman"/>
          <w:color w:val="000000" w:themeColor="text1"/>
          <w:sz w:val="28"/>
          <w:szCs w:val="28"/>
        </w:rPr>
      </w:pPr>
    </w:p>
    <w:p w14:paraId="29D14020" w14:textId="77777777" w:rsidR="00F05444" w:rsidRPr="00A12137" w:rsidRDefault="00F05444">
      <w:pPr>
        <w:rPr>
          <w:rFonts w:ascii="Times New Roman" w:hAnsi="Times New Roman" w:cs="Times New Roman"/>
          <w:color w:val="000000" w:themeColor="text1"/>
          <w:sz w:val="28"/>
          <w:szCs w:val="28"/>
        </w:rPr>
      </w:pPr>
    </w:p>
    <w:p w14:paraId="1F8863CD" w14:textId="77777777" w:rsidR="00F05444" w:rsidRPr="00A12137" w:rsidRDefault="00F05444">
      <w:pPr>
        <w:rPr>
          <w:rFonts w:ascii="Times New Roman" w:hAnsi="Times New Roman" w:cs="Times New Roman"/>
          <w:color w:val="000000" w:themeColor="text1"/>
          <w:sz w:val="28"/>
          <w:szCs w:val="28"/>
        </w:rPr>
      </w:pPr>
    </w:p>
    <w:p w14:paraId="3B013FBB" w14:textId="77777777" w:rsidR="003307A6" w:rsidRDefault="003307A6">
      <w:pPr>
        <w:rPr>
          <w:rFonts w:ascii="Times New Roman" w:hAnsi="Times New Roman" w:cs="Times New Roman"/>
          <w:color w:val="000000" w:themeColor="text1"/>
          <w:sz w:val="28"/>
          <w:szCs w:val="28"/>
        </w:rPr>
      </w:pPr>
    </w:p>
    <w:p w14:paraId="486790F3" w14:textId="77777777" w:rsidR="003307A6" w:rsidRDefault="003307A6">
      <w:pPr>
        <w:rPr>
          <w:rFonts w:ascii="Times New Roman" w:hAnsi="Times New Roman" w:cs="Times New Roman"/>
          <w:color w:val="000000" w:themeColor="text1"/>
          <w:sz w:val="28"/>
          <w:szCs w:val="28"/>
        </w:rPr>
      </w:pPr>
    </w:p>
    <w:p w14:paraId="141051CA" w14:textId="77777777" w:rsidR="003307A6" w:rsidRDefault="003307A6">
      <w:pPr>
        <w:rPr>
          <w:rFonts w:ascii="Times New Roman" w:hAnsi="Times New Roman" w:cs="Times New Roman"/>
          <w:color w:val="000000" w:themeColor="text1"/>
          <w:sz w:val="28"/>
          <w:szCs w:val="28"/>
        </w:rPr>
      </w:pPr>
    </w:p>
    <w:p w14:paraId="19D6F0D3" w14:textId="77777777" w:rsidR="003307A6" w:rsidRDefault="003307A6">
      <w:pPr>
        <w:rPr>
          <w:rFonts w:ascii="Times New Roman" w:hAnsi="Times New Roman" w:cs="Times New Roman"/>
          <w:color w:val="000000" w:themeColor="text1"/>
          <w:sz w:val="28"/>
          <w:szCs w:val="28"/>
        </w:rPr>
      </w:pPr>
    </w:p>
    <w:p w14:paraId="18F64A65" w14:textId="77777777" w:rsidR="003307A6" w:rsidRDefault="003307A6">
      <w:pPr>
        <w:rPr>
          <w:rFonts w:ascii="Times New Roman" w:hAnsi="Times New Roman" w:cs="Times New Roman"/>
          <w:color w:val="000000" w:themeColor="text1"/>
          <w:sz w:val="28"/>
          <w:szCs w:val="28"/>
        </w:rPr>
      </w:pPr>
    </w:p>
    <w:p w14:paraId="26507CA2" w14:textId="77777777" w:rsidR="0081064B" w:rsidRDefault="0081064B">
      <w:pPr>
        <w:rPr>
          <w:rFonts w:ascii="Times New Roman" w:hAnsi="Times New Roman" w:cs="Times New Roman"/>
          <w:color w:val="000000" w:themeColor="text1"/>
          <w:sz w:val="28"/>
          <w:szCs w:val="28"/>
        </w:rPr>
      </w:pPr>
    </w:p>
    <w:p w14:paraId="57E40870" w14:textId="78CA128A" w:rsidR="004058C1" w:rsidRPr="0081064B" w:rsidRDefault="004058C1">
      <w:pPr>
        <w:rPr>
          <w:rFonts w:ascii="Times New Roman" w:hAnsi="Times New Roman" w:cs="Times New Roman"/>
          <w:i/>
          <w:iCs/>
          <w:color w:val="000000" w:themeColor="text1"/>
          <w:sz w:val="28"/>
          <w:szCs w:val="28"/>
        </w:rPr>
      </w:pPr>
      <w:r w:rsidRPr="0081064B">
        <w:rPr>
          <w:rFonts w:ascii="Times New Roman" w:hAnsi="Times New Roman" w:cs="Times New Roman"/>
          <w:i/>
          <w:iCs/>
          <w:color w:val="000000" w:themeColor="text1"/>
          <w:sz w:val="28"/>
          <w:szCs w:val="28"/>
        </w:rPr>
        <w:t>Author:</w:t>
      </w:r>
    </w:p>
    <w:p w14:paraId="75C97FD2" w14:textId="67173636" w:rsidR="00BD5365" w:rsidRPr="0081064B" w:rsidRDefault="00BD5365">
      <w:pPr>
        <w:rPr>
          <w:rFonts w:ascii="Times New Roman" w:hAnsi="Times New Roman" w:cs="Times New Roman"/>
          <w:i/>
          <w:iCs/>
          <w:color w:val="000000" w:themeColor="text1"/>
          <w:sz w:val="28"/>
          <w:szCs w:val="28"/>
        </w:rPr>
      </w:pPr>
      <w:r w:rsidRPr="0081064B">
        <w:rPr>
          <w:rFonts w:ascii="Times New Roman" w:hAnsi="Times New Roman" w:cs="Times New Roman"/>
          <w:i/>
          <w:iCs/>
          <w:color w:val="000000" w:themeColor="text1"/>
          <w:sz w:val="28"/>
          <w:szCs w:val="28"/>
        </w:rPr>
        <w:t>Mátyás Varga-Etele s1121420</w:t>
      </w:r>
    </w:p>
    <w:p w14:paraId="57AD10C7" w14:textId="77DDF717" w:rsidR="004058C1" w:rsidRPr="0081064B" w:rsidRDefault="003307A6">
      <w:pPr>
        <w:rPr>
          <w:rFonts w:ascii="Times New Roman" w:hAnsi="Times New Roman" w:cs="Times New Roman"/>
          <w:color w:val="000000" w:themeColor="text1"/>
          <w:sz w:val="28"/>
          <w:szCs w:val="28"/>
        </w:rPr>
      </w:pPr>
      <w:r w:rsidRPr="0081064B">
        <w:rPr>
          <w:rFonts w:ascii="Times New Roman" w:hAnsi="Times New Roman" w:cs="Times New Roman"/>
          <w:i/>
          <w:iCs/>
          <w:color w:val="000000" w:themeColor="text1"/>
          <w:sz w:val="28"/>
          <w:szCs w:val="28"/>
        </w:rPr>
        <w:t>matyas.varga-etele@ru.nl</w:t>
      </w:r>
      <w:r w:rsidR="00B80F24" w:rsidRPr="00B80F24">
        <w:rPr>
          <w:rFonts w:ascii="Times New Roman" w:hAnsi="Times New Roman" w:cs="Times New Roman"/>
          <w:noProof/>
          <w:color w:val="000000" w:themeColor="text1"/>
          <w:sz w:val="28"/>
          <w:szCs w:val="28"/>
          <w:lang w:eastAsia="en-GB"/>
        </w:rPr>
        <w:drawing>
          <wp:anchor distT="0" distB="0" distL="114300" distR="114300" simplePos="0" relativeHeight="251658240" behindDoc="0" locked="0" layoutInCell="1" allowOverlap="1" wp14:anchorId="19F323BA" wp14:editId="77180057">
            <wp:simplePos x="0" y="0"/>
            <wp:positionH relativeFrom="margin">
              <wp:posOffset>4060995</wp:posOffset>
            </wp:positionH>
            <wp:positionV relativeFrom="margin">
              <wp:posOffset>8902018</wp:posOffset>
            </wp:positionV>
            <wp:extent cx="2378710" cy="503555"/>
            <wp:effectExtent l="0" t="0" r="2540" b="0"/>
            <wp:wrapSquare wrapText="bothSides"/>
            <wp:docPr id="4" name="Logo"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descr="A black background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78710" cy="503555"/>
                    </a:xfrm>
                    <a:prstGeom prst="rect">
                      <a:avLst/>
                    </a:prstGeom>
                  </pic:spPr>
                </pic:pic>
              </a:graphicData>
            </a:graphic>
            <wp14:sizeRelH relativeFrom="margin">
              <wp14:pctWidth>0</wp14:pctWidth>
            </wp14:sizeRelH>
            <wp14:sizeRelV relativeFrom="margin">
              <wp14:pctHeight>0</wp14:pctHeight>
            </wp14:sizeRelV>
          </wp:anchor>
        </w:drawing>
      </w:r>
      <w:r w:rsidR="004058C1" w:rsidRPr="00A12137">
        <w:rPr>
          <w:rFonts w:ascii="Times New Roman" w:hAnsi="Times New Roman" w:cs="Times New Roman"/>
          <w:color w:val="000000" w:themeColor="text1"/>
          <w:sz w:val="56"/>
          <w:szCs w:val="56"/>
        </w:rPr>
        <w:br w:type="page"/>
      </w:r>
    </w:p>
    <w:sdt>
      <w:sdtPr>
        <w:rPr>
          <w:rFonts w:ascii="Times New Roman" w:eastAsiaTheme="minorEastAsia" w:hAnsi="Times New Roman" w:cs="Times New Roman"/>
          <w:b w:val="0"/>
          <w:bCs w:val="0"/>
          <w:color w:val="auto"/>
          <w:sz w:val="24"/>
          <w:szCs w:val="24"/>
        </w:rPr>
        <w:id w:val="-1419701083"/>
        <w:docPartObj>
          <w:docPartGallery w:val="Table of Contents"/>
          <w:docPartUnique/>
        </w:docPartObj>
      </w:sdtPr>
      <w:sdtEndPr/>
      <w:sdtContent>
        <w:p w14:paraId="15FB85D2" w14:textId="7D0C233F" w:rsidR="00BD5365" w:rsidRPr="00A40F45" w:rsidRDefault="00BD5365" w:rsidP="00A40F45">
          <w:pPr>
            <w:pStyle w:val="TOCHeading"/>
            <w:spacing w:line="360" w:lineRule="auto"/>
            <w:rPr>
              <w:rFonts w:ascii="Times New Roman" w:hAnsi="Times New Roman" w:cs="Times New Roman"/>
            </w:rPr>
          </w:pPr>
          <w:r w:rsidRPr="00A40F45">
            <w:rPr>
              <w:rStyle w:val="Hyperlink"/>
            </w:rPr>
            <w:t>Table of Contents</w:t>
          </w:r>
        </w:p>
        <w:p w14:paraId="715B66A9" w14:textId="63D5F410" w:rsidR="00A40F45" w:rsidRPr="00A40F45" w:rsidRDefault="00BD5365" w:rsidP="00A40F45">
          <w:pPr>
            <w:pStyle w:val="TOC1"/>
            <w:tabs>
              <w:tab w:val="right" w:leader="dot" w:pos="10456"/>
            </w:tabs>
            <w:spacing w:line="360" w:lineRule="auto"/>
            <w:rPr>
              <w:rFonts w:ascii="Times New Roman" w:eastAsiaTheme="minorEastAsia" w:hAnsi="Times New Roman" w:cs="Times New Roman"/>
              <w:b w:val="0"/>
              <w:bCs w:val="0"/>
              <w:i w:val="0"/>
              <w:iCs w:val="0"/>
              <w:noProof/>
              <w:kern w:val="2"/>
              <w:lang w:val="en-HU" w:eastAsia="en-GB"/>
              <w14:ligatures w14:val="standardContextual"/>
            </w:rPr>
          </w:pPr>
          <w:r w:rsidRPr="00A40F45">
            <w:rPr>
              <w:rFonts w:ascii="Times New Roman" w:hAnsi="Times New Roman" w:cs="Times New Roman"/>
              <w:b w:val="0"/>
              <w:bCs w:val="0"/>
            </w:rPr>
            <w:fldChar w:fldCharType="begin"/>
          </w:r>
          <w:r w:rsidRPr="00A40F45">
            <w:rPr>
              <w:rFonts w:ascii="Times New Roman" w:hAnsi="Times New Roman" w:cs="Times New Roman"/>
              <w:b w:val="0"/>
              <w:bCs w:val="0"/>
            </w:rPr>
            <w:instrText xml:space="preserve"> TOC \o "1-3" \h \z \u </w:instrText>
          </w:r>
          <w:r w:rsidRPr="00A40F45">
            <w:rPr>
              <w:rFonts w:ascii="Times New Roman" w:hAnsi="Times New Roman" w:cs="Times New Roman"/>
              <w:b w:val="0"/>
              <w:bCs w:val="0"/>
            </w:rPr>
            <w:fldChar w:fldCharType="separate"/>
          </w:r>
          <w:hyperlink w:anchor="_Toc230603262" w:history="1">
            <w:r w:rsidR="00A40F45" w:rsidRPr="00A40F45">
              <w:rPr>
                <w:rStyle w:val="Hyperlink"/>
                <w:b w:val="0"/>
                <w:bCs w:val="0"/>
                <w:noProof/>
              </w:rPr>
              <w:t>1.Introduction</w:t>
            </w:r>
            <w:r w:rsidR="00A40F45" w:rsidRPr="00A40F45">
              <w:rPr>
                <w:rFonts w:ascii="Times New Roman" w:hAnsi="Times New Roman" w:cs="Times New Roman"/>
                <w:b w:val="0"/>
                <w:bCs w:val="0"/>
                <w:noProof/>
                <w:webHidden/>
              </w:rPr>
              <w:tab/>
            </w:r>
            <w:r w:rsidR="00A40F45" w:rsidRPr="00A40F45">
              <w:rPr>
                <w:rFonts w:ascii="Times New Roman" w:hAnsi="Times New Roman" w:cs="Times New Roman"/>
                <w:b w:val="0"/>
                <w:bCs w:val="0"/>
                <w:noProof/>
                <w:webHidden/>
              </w:rPr>
              <w:fldChar w:fldCharType="begin"/>
            </w:r>
            <w:r w:rsidR="00A40F45" w:rsidRPr="00A40F45">
              <w:rPr>
                <w:rFonts w:ascii="Times New Roman" w:hAnsi="Times New Roman" w:cs="Times New Roman"/>
                <w:b w:val="0"/>
                <w:bCs w:val="0"/>
                <w:noProof/>
                <w:webHidden/>
              </w:rPr>
              <w:instrText xml:space="preserve"> PAGEREF _Toc230603262 \h </w:instrText>
            </w:r>
            <w:r w:rsidR="00A40F45" w:rsidRPr="00A40F45">
              <w:rPr>
                <w:rFonts w:ascii="Times New Roman" w:hAnsi="Times New Roman" w:cs="Times New Roman"/>
                <w:b w:val="0"/>
                <w:bCs w:val="0"/>
                <w:noProof/>
                <w:webHidden/>
              </w:rPr>
            </w:r>
            <w:r w:rsidR="00A40F45" w:rsidRPr="00A40F45">
              <w:rPr>
                <w:rFonts w:ascii="Times New Roman" w:hAnsi="Times New Roman" w:cs="Times New Roman"/>
                <w:b w:val="0"/>
                <w:bCs w:val="0"/>
                <w:noProof/>
                <w:webHidden/>
              </w:rPr>
              <w:fldChar w:fldCharType="separate"/>
            </w:r>
            <w:r w:rsidR="0075025B">
              <w:rPr>
                <w:rFonts w:ascii="Times New Roman" w:hAnsi="Times New Roman" w:cs="Times New Roman"/>
                <w:b w:val="0"/>
                <w:bCs w:val="0"/>
                <w:noProof/>
                <w:webHidden/>
              </w:rPr>
              <w:t>3</w:t>
            </w:r>
            <w:r w:rsidR="00A40F45" w:rsidRPr="00A40F45">
              <w:rPr>
                <w:rFonts w:ascii="Times New Roman" w:hAnsi="Times New Roman" w:cs="Times New Roman"/>
                <w:b w:val="0"/>
                <w:bCs w:val="0"/>
                <w:noProof/>
                <w:webHidden/>
              </w:rPr>
              <w:fldChar w:fldCharType="end"/>
            </w:r>
          </w:hyperlink>
        </w:p>
        <w:p w14:paraId="5A7E56CE" w14:textId="75FEBCD6" w:rsidR="00A40F45" w:rsidRPr="00A40F45" w:rsidRDefault="00A40F45" w:rsidP="00A40F45">
          <w:pPr>
            <w:pStyle w:val="TOC1"/>
            <w:tabs>
              <w:tab w:val="right" w:leader="dot" w:pos="10456"/>
            </w:tabs>
            <w:spacing w:line="360" w:lineRule="auto"/>
            <w:rPr>
              <w:rFonts w:ascii="Times New Roman" w:eastAsiaTheme="minorEastAsia" w:hAnsi="Times New Roman" w:cs="Times New Roman"/>
              <w:b w:val="0"/>
              <w:bCs w:val="0"/>
              <w:i w:val="0"/>
              <w:iCs w:val="0"/>
              <w:noProof/>
              <w:kern w:val="2"/>
              <w:lang w:val="en-HU" w:eastAsia="en-GB"/>
              <w14:ligatures w14:val="standardContextual"/>
            </w:rPr>
          </w:pPr>
          <w:hyperlink w:anchor="_Toc230603263" w:history="1">
            <w:r w:rsidRPr="00A40F45">
              <w:rPr>
                <w:rStyle w:val="Hyperlink"/>
                <w:b w:val="0"/>
                <w:bCs w:val="0"/>
                <w:noProof/>
              </w:rPr>
              <w:t>2. Theoretical Framework</w:t>
            </w:r>
            <w:r w:rsidRPr="00A40F45">
              <w:rPr>
                <w:rFonts w:ascii="Times New Roman" w:hAnsi="Times New Roman" w:cs="Times New Roman"/>
                <w:b w:val="0"/>
                <w:bCs w:val="0"/>
                <w:noProof/>
                <w:webHidden/>
              </w:rPr>
              <w:tab/>
            </w:r>
            <w:r w:rsidRPr="00A40F45">
              <w:rPr>
                <w:rFonts w:ascii="Times New Roman" w:hAnsi="Times New Roman" w:cs="Times New Roman"/>
                <w:b w:val="0"/>
                <w:bCs w:val="0"/>
                <w:noProof/>
                <w:webHidden/>
              </w:rPr>
              <w:fldChar w:fldCharType="begin"/>
            </w:r>
            <w:r w:rsidRPr="00A40F45">
              <w:rPr>
                <w:rFonts w:ascii="Times New Roman" w:hAnsi="Times New Roman" w:cs="Times New Roman"/>
                <w:b w:val="0"/>
                <w:bCs w:val="0"/>
                <w:noProof/>
                <w:webHidden/>
              </w:rPr>
              <w:instrText xml:space="preserve"> PAGEREF _Toc230603263 \h </w:instrText>
            </w:r>
            <w:r w:rsidRPr="00A40F45">
              <w:rPr>
                <w:rFonts w:ascii="Times New Roman" w:hAnsi="Times New Roman" w:cs="Times New Roman"/>
                <w:b w:val="0"/>
                <w:bCs w:val="0"/>
                <w:noProof/>
                <w:webHidden/>
              </w:rPr>
            </w:r>
            <w:r w:rsidRPr="00A40F45">
              <w:rPr>
                <w:rFonts w:ascii="Times New Roman" w:hAnsi="Times New Roman" w:cs="Times New Roman"/>
                <w:b w:val="0"/>
                <w:bCs w:val="0"/>
                <w:noProof/>
                <w:webHidden/>
              </w:rPr>
              <w:fldChar w:fldCharType="separate"/>
            </w:r>
            <w:r w:rsidR="0075025B">
              <w:rPr>
                <w:rFonts w:ascii="Times New Roman" w:hAnsi="Times New Roman" w:cs="Times New Roman"/>
                <w:b w:val="0"/>
                <w:bCs w:val="0"/>
                <w:noProof/>
                <w:webHidden/>
              </w:rPr>
              <w:t>5</w:t>
            </w:r>
            <w:r w:rsidRPr="00A40F45">
              <w:rPr>
                <w:rFonts w:ascii="Times New Roman" w:hAnsi="Times New Roman" w:cs="Times New Roman"/>
                <w:b w:val="0"/>
                <w:bCs w:val="0"/>
                <w:noProof/>
                <w:webHidden/>
              </w:rPr>
              <w:fldChar w:fldCharType="end"/>
            </w:r>
          </w:hyperlink>
        </w:p>
        <w:p w14:paraId="3BD50EF4" w14:textId="20B0CF08" w:rsidR="00A40F45" w:rsidRPr="00A40F45" w:rsidRDefault="00A40F45" w:rsidP="00A40F45">
          <w:pPr>
            <w:pStyle w:val="TOC2"/>
            <w:tabs>
              <w:tab w:val="right" w:leader="dot" w:pos="10456"/>
            </w:tabs>
            <w:spacing w:line="360" w:lineRule="auto"/>
            <w:rPr>
              <w:rFonts w:ascii="Times New Roman" w:eastAsiaTheme="minorEastAsia" w:hAnsi="Times New Roman" w:cs="Times New Roman"/>
              <w:b w:val="0"/>
              <w:bCs w:val="0"/>
              <w:noProof/>
              <w:kern w:val="2"/>
              <w:sz w:val="24"/>
              <w:szCs w:val="24"/>
              <w:lang w:val="en-HU" w:eastAsia="en-GB"/>
              <w14:ligatures w14:val="standardContextual"/>
            </w:rPr>
          </w:pPr>
          <w:hyperlink w:anchor="_Toc230603264" w:history="1">
            <w:r w:rsidRPr="00A40F45">
              <w:rPr>
                <w:rStyle w:val="Hyperlink"/>
                <w:b w:val="0"/>
                <w:bCs w:val="0"/>
                <w:noProof/>
                <w:sz w:val="24"/>
                <w:szCs w:val="24"/>
              </w:rPr>
              <w:t>2.1. Financial risks and Corporate Hedging</w:t>
            </w:r>
            <w:r w:rsidRPr="00A40F45">
              <w:rPr>
                <w:rFonts w:ascii="Times New Roman" w:hAnsi="Times New Roman" w:cs="Times New Roman"/>
                <w:b w:val="0"/>
                <w:bCs w:val="0"/>
                <w:noProof/>
                <w:webHidden/>
                <w:sz w:val="24"/>
                <w:szCs w:val="24"/>
              </w:rPr>
              <w:tab/>
            </w:r>
            <w:r w:rsidRPr="00A40F45">
              <w:rPr>
                <w:rFonts w:ascii="Times New Roman" w:hAnsi="Times New Roman" w:cs="Times New Roman"/>
                <w:b w:val="0"/>
                <w:bCs w:val="0"/>
                <w:noProof/>
                <w:webHidden/>
                <w:sz w:val="24"/>
                <w:szCs w:val="24"/>
              </w:rPr>
              <w:fldChar w:fldCharType="begin"/>
            </w:r>
            <w:r w:rsidRPr="00A40F45">
              <w:rPr>
                <w:rFonts w:ascii="Times New Roman" w:hAnsi="Times New Roman" w:cs="Times New Roman"/>
                <w:b w:val="0"/>
                <w:bCs w:val="0"/>
                <w:noProof/>
                <w:webHidden/>
                <w:sz w:val="24"/>
                <w:szCs w:val="24"/>
              </w:rPr>
              <w:instrText xml:space="preserve"> PAGEREF _Toc230603264 \h </w:instrText>
            </w:r>
            <w:r w:rsidRPr="00A40F45">
              <w:rPr>
                <w:rFonts w:ascii="Times New Roman" w:hAnsi="Times New Roman" w:cs="Times New Roman"/>
                <w:b w:val="0"/>
                <w:bCs w:val="0"/>
                <w:noProof/>
                <w:webHidden/>
                <w:sz w:val="24"/>
                <w:szCs w:val="24"/>
              </w:rPr>
            </w:r>
            <w:r w:rsidRPr="00A40F45">
              <w:rPr>
                <w:rFonts w:ascii="Times New Roman" w:hAnsi="Times New Roman" w:cs="Times New Roman"/>
                <w:b w:val="0"/>
                <w:bCs w:val="0"/>
                <w:noProof/>
                <w:webHidden/>
                <w:sz w:val="24"/>
                <w:szCs w:val="24"/>
              </w:rPr>
              <w:fldChar w:fldCharType="separate"/>
            </w:r>
            <w:r w:rsidR="0075025B">
              <w:rPr>
                <w:rFonts w:ascii="Times New Roman" w:hAnsi="Times New Roman" w:cs="Times New Roman"/>
                <w:b w:val="0"/>
                <w:bCs w:val="0"/>
                <w:noProof/>
                <w:webHidden/>
                <w:sz w:val="24"/>
                <w:szCs w:val="24"/>
              </w:rPr>
              <w:t>5</w:t>
            </w:r>
            <w:r w:rsidRPr="00A40F45">
              <w:rPr>
                <w:rFonts w:ascii="Times New Roman" w:hAnsi="Times New Roman" w:cs="Times New Roman"/>
                <w:b w:val="0"/>
                <w:bCs w:val="0"/>
                <w:noProof/>
                <w:webHidden/>
                <w:sz w:val="24"/>
                <w:szCs w:val="24"/>
              </w:rPr>
              <w:fldChar w:fldCharType="end"/>
            </w:r>
          </w:hyperlink>
        </w:p>
        <w:p w14:paraId="77AB729D" w14:textId="25EE5F62" w:rsidR="00A40F45" w:rsidRPr="00A40F45" w:rsidRDefault="00A40F45" w:rsidP="00A40F45">
          <w:pPr>
            <w:pStyle w:val="TOC2"/>
            <w:tabs>
              <w:tab w:val="right" w:leader="dot" w:pos="10456"/>
            </w:tabs>
            <w:spacing w:line="360" w:lineRule="auto"/>
            <w:rPr>
              <w:rFonts w:ascii="Times New Roman" w:eastAsiaTheme="minorEastAsia" w:hAnsi="Times New Roman" w:cs="Times New Roman"/>
              <w:b w:val="0"/>
              <w:bCs w:val="0"/>
              <w:noProof/>
              <w:kern w:val="2"/>
              <w:sz w:val="24"/>
              <w:szCs w:val="24"/>
              <w:lang w:val="en-HU" w:eastAsia="en-GB"/>
              <w14:ligatures w14:val="standardContextual"/>
            </w:rPr>
          </w:pPr>
          <w:hyperlink w:anchor="_Toc230603265" w:history="1">
            <w:r w:rsidRPr="00A40F45">
              <w:rPr>
                <w:rStyle w:val="Hyperlink"/>
                <w:b w:val="0"/>
                <w:bCs w:val="0"/>
                <w:noProof/>
                <w:sz w:val="24"/>
                <w:szCs w:val="24"/>
              </w:rPr>
              <w:t>2.2. Interest rate risk</w:t>
            </w:r>
            <w:r w:rsidRPr="00A40F45">
              <w:rPr>
                <w:rFonts w:ascii="Times New Roman" w:hAnsi="Times New Roman" w:cs="Times New Roman"/>
                <w:b w:val="0"/>
                <w:bCs w:val="0"/>
                <w:noProof/>
                <w:webHidden/>
                <w:sz w:val="24"/>
                <w:szCs w:val="24"/>
              </w:rPr>
              <w:tab/>
            </w:r>
            <w:r w:rsidRPr="00A40F45">
              <w:rPr>
                <w:rFonts w:ascii="Times New Roman" w:hAnsi="Times New Roman" w:cs="Times New Roman"/>
                <w:b w:val="0"/>
                <w:bCs w:val="0"/>
                <w:noProof/>
                <w:webHidden/>
                <w:sz w:val="24"/>
                <w:szCs w:val="24"/>
              </w:rPr>
              <w:fldChar w:fldCharType="begin"/>
            </w:r>
            <w:r w:rsidRPr="00A40F45">
              <w:rPr>
                <w:rFonts w:ascii="Times New Roman" w:hAnsi="Times New Roman" w:cs="Times New Roman"/>
                <w:b w:val="0"/>
                <w:bCs w:val="0"/>
                <w:noProof/>
                <w:webHidden/>
                <w:sz w:val="24"/>
                <w:szCs w:val="24"/>
              </w:rPr>
              <w:instrText xml:space="preserve"> PAGEREF _Toc230603265 \h </w:instrText>
            </w:r>
            <w:r w:rsidRPr="00A40F45">
              <w:rPr>
                <w:rFonts w:ascii="Times New Roman" w:hAnsi="Times New Roman" w:cs="Times New Roman"/>
                <w:b w:val="0"/>
                <w:bCs w:val="0"/>
                <w:noProof/>
                <w:webHidden/>
                <w:sz w:val="24"/>
                <w:szCs w:val="24"/>
              </w:rPr>
            </w:r>
            <w:r w:rsidRPr="00A40F45">
              <w:rPr>
                <w:rFonts w:ascii="Times New Roman" w:hAnsi="Times New Roman" w:cs="Times New Roman"/>
                <w:b w:val="0"/>
                <w:bCs w:val="0"/>
                <w:noProof/>
                <w:webHidden/>
                <w:sz w:val="24"/>
                <w:szCs w:val="24"/>
              </w:rPr>
              <w:fldChar w:fldCharType="separate"/>
            </w:r>
            <w:r w:rsidR="0075025B">
              <w:rPr>
                <w:rFonts w:ascii="Times New Roman" w:hAnsi="Times New Roman" w:cs="Times New Roman"/>
                <w:b w:val="0"/>
                <w:bCs w:val="0"/>
                <w:noProof/>
                <w:webHidden/>
                <w:sz w:val="24"/>
                <w:szCs w:val="24"/>
              </w:rPr>
              <w:t>6</w:t>
            </w:r>
            <w:r w:rsidRPr="00A40F45">
              <w:rPr>
                <w:rFonts w:ascii="Times New Roman" w:hAnsi="Times New Roman" w:cs="Times New Roman"/>
                <w:b w:val="0"/>
                <w:bCs w:val="0"/>
                <w:noProof/>
                <w:webHidden/>
                <w:sz w:val="24"/>
                <w:szCs w:val="24"/>
              </w:rPr>
              <w:fldChar w:fldCharType="end"/>
            </w:r>
          </w:hyperlink>
        </w:p>
        <w:p w14:paraId="0758F849" w14:textId="2F9ABE68" w:rsidR="00A40F45" w:rsidRPr="00A40F45" w:rsidRDefault="00A40F45" w:rsidP="00A40F45">
          <w:pPr>
            <w:pStyle w:val="TOC2"/>
            <w:tabs>
              <w:tab w:val="right" w:leader="dot" w:pos="10456"/>
            </w:tabs>
            <w:spacing w:line="360" w:lineRule="auto"/>
            <w:rPr>
              <w:rFonts w:ascii="Times New Roman" w:eastAsiaTheme="minorEastAsia" w:hAnsi="Times New Roman" w:cs="Times New Roman"/>
              <w:b w:val="0"/>
              <w:bCs w:val="0"/>
              <w:noProof/>
              <w:kern w:val="2"/>
              <w:sz w:val="24"/>
              <w:szCs w:val="24"/>
              <w:lang w:val="en-HU" w:eastAsia="en-GB"/>
              <w14:ligatures w14:val="standardContextual"/>
            </w:rPr>
          </w:pPr>
          <w:hyperlink w:anchor="_Toc230603266" w:history="1">
            <w:r w:rsidRPr="00A40F45">
              <w:rPr>
                <w:rStyle w:val="Hyperlink"/>
                <w:b w:val="0"/>
                <w:bCs w:val="0"/>
                <w:noProof/>
                <w:sz w:val="24"/>
                <w:szCs w:val="24"/>
              </w:rPr>
              <w:t>2.3. Exchange rate risk</w:t>
            </w:r>
            <w:r w:rsidRPr="00A40F45">
              <w:rPr>
                <w:rFonts w:ascii="Times New Roman" w:hAnsi="Times New Roman" w:cs="Times New Roman"/>
                <w:b w:val="0"/>
                <w:bCs w:val="0"/>
                <w:noProof/>
                <w:webHidden/>
                <w:sz w:val="24"/>
                <w:szCs w:val="24"/>
              </w:rPr>
              <w:tab/>
            </w:r>
            <w:r w:rsidRPr="00A40F45">
              <w:rPr>
                <w:rFonts w:ascii="Times New Roman" w:hAnsi="Times New Roman" w:cs="Times New Roman"/>
                <w:b w:val="0"/>
                <w:bCs w:val="0"/>
                <w:noProof/>
                <w:webHidden/>
                <w:sz w:val="24"/>
                <w:szCs w:val="24"/>
              </w:rPr>
              <w:fldChar w:fldCharType="begin"/>
            </w:r>
            <w:r w:rsidRPr="00A40F45">
              <w:rPr>
                <w:rFonts w:ascii="Times New Roman" w:hAnsi="Times New Roman" w:cs="Times New Roman"/>
                <w:b w:val="0"/>
                <w:bCs w:val="0"/>
                <w:noProof/>
                <w:webHidden/>
                <w:sz w:val="24"/>
                <w:szCs w:val="24"/>
              </w:rPr>
              <w:instrText xml:space="preserve"> PAGEREF _Toc230603266 \h </w:instrText>
            </w:r>
            <w:r w:rsidRPr="00A40F45">
              <w:rPr>
                <w:rFonts w:ascii="Times New Roman" w:hAnsi="Times New Roman" w:cs="Times New Roman"/>
                <w:b w:val="0"/>
                <w:bCs w:val="0"/>
                <w:noProof/>
                <w:webHidden/>
                <w:sz w:val="24"/>
                <w:szCs w:val="24"/>
              </w:rPr>
            </w:r>
            <w:r w:rsidRPr="00A40F45">
              <w:rPr>
                <w:rFonts w:ascii="Times New Roman" w:hAnsi="Times New Roman" w:cs="Times New Roman"/>
                <w:b w:val="0"/>
                <w:bCs w:val="0"/>
                <w:noProof/>
                <w:webHidden/>
                <w:sz w:val="24"/>
                <w:szCs w:val="24"/>
              </w:rPr>
              <w:fldChar w:fldCharType="separate"/>
            </w:r>
            <w:r w:rsidR="0075025B">
              <w:rPr>
                <w:rFonts w:ascii="Times New Roman" w:hAnsi="Times New Roman" w:cs="Times New Roman"/>
                <w:b w:val="0"/>
                <w:bCs w:val="0"/>
                <w:noProof/>
                <w:webHidden/>
                <w:sz w:val="24"/>
                <w:szCs w:val="24"/>
              </w:rPr>
              <w:t>6</w:t>
            </w:r>
            <w:r w:rsidRPr="00A40F45">
              <w:rPr>
                <w:rFonts w:ascii="Times New Roman" w:hAnsi="Times New Roman" w:cs="Times New Roman"/>
                <w:b w:val="0"/>
                <w:bCs w:val="0"/>
                <w:noProof/>
                <w:webHidden/>
                <w:sz w:val="24"/>
                <w:szCs w:val="24"/>
              </w:rPr>
              <w:fldChar w:fldCharType="end"/>
            </w:r>
          </w:hyperlink>
        </w:p>
        <w:p w14:paraId="7B39B6BF" w14:textId="0A2EAF2D" w:rsidR="00A40F45" w:rsidRPr="00A40F45" w:rsidRDefault="00A40F45" w:rsidP="00A40F45">
          <w:pPr>
            <w:pStyle w:val="TOC2"/>
            <w:tabs>
              <w:tab w:val="right" w:leader="dot" w:pos="10456"/>
            </w:tabs>
            <w:spacing w:line="360" w:lineRule="auto"/>
            <w:rPr>
              <w:rFonts w:ascii="Times New Roman" w:eastAsiaTheme="minorEastAsia" w:hAnsi="Times New Roman" w:cs="Times New Roman"/>
              <w:b w:val="0"/>
              <w:bCs w:val="0"/>
              <w:noProof/>
              <w:kern w:val="2"/>
              <w:sz w:val="24"/>
              <w:szCs w:val="24"/>
              <w:lang w:val="en-HU" w:eastAsia="en-GB"/>
              <w14:ligatures w14:val="standardContextual"/>
            </w:rPr>
          </w:pPr>
          <w:hyperlink w:anchor="_Toc230603267" w:history="1">
            <w:r w:rsidRPr="00A40F45">
              <w:rPr>
                <w:rStyle w:val="Hyperlink"/>
                <w:b w:val="0"/>
                <w:bCs w:val="0"/>
                <w:noProof/>
                <w:sz w:val="24"/>
                <w:szCs w:val="24"/>
              </w:rPr>
              <w:t>2.4. Inflation rate risk</w:t>
            </w:r>
            <w:r w:rsidRPr="00A40F45">
              <w:rPr>
                <w:rFonts w:ascii="Times New Roman" w:hAnsi="Times New Roman" w:cs="Times New Roman"/>
                <w:b w:val="0"/>
                <w:bCs w:val="0"/>
                <w:noProof/>
                <w:webHidden/>
                <w:sz w:val="24"/>
                <w:szCs w:val="24"/>
              </w:rPr>
              <w:tab/>
            </w:r>
            <w:r w:rsidRPr="00A40F45">
              <w:rPr>
                <w:rFonts w:ascii="Times New Roman" w:hAnsi="Times New Roman" w:cs="Times New Roman"/>
                <w:b w:val="0"/>
                <w:bCs w:val="0"/>
                <w:noProof/>
                <w:webHidden/>
                <w:sz w:val="24"/>
                <w:szCs w:val="24"/>
              </w:rPr>
              <w:fldChar w:fldCharType="begin"/>
            </w:r>
            <w:r w:rsidRPr="00A40F45">
              <w:rPr>
                <w:rFonts w:ascii="Times New Roman" w:hAnsi="Times New Roman" w:cs="Times New Roman"/>
                <w:b w:val="0"/>
                <w:bCs w:val="0"/>
                <w:noProof/>
                <w:webHidden/>
                <w:sz w:val="24"/>
                <w:szCs w:val="24"/>
              </w:rPr>
              <w:instrText xml:space="preserve"> PAGEREF _Toc230603267 \h </w:instrText>
            </w:r>
            <w:r w:rsidRPr="00A40F45">
              <w:rPr>
                <w:rFonts w:ascii="Times New Roman" w:hAnsi="Times New Roman" w:cs="Times New Roman"/>
                <w:b w:val="0"/>
                <w:bCs w:val="0"/>
                <w:noProof/>
                <w:webHidden/>
                <w:sz w:val="24"/>
                <w:szCs w:val="24"/>
              </w:rPr>
            </w:r>
            <w:r w:rsidRPr="00A40F45">
              <w:rPr>
                <w:rFonts w:ascii="Times New Roman" w:hAnsi="Times New Roman" w:cs="Times New Roman"/>
                <w:b w:val="0"/>
                <w:bCs w:val="0"/>
                <w:noProof/>
                <w:webHidden/>
                <w:sz w:val="24"/>
                <w:szCs w:val="24"/>
              </w:rPr>
              <w:fldChar w:fldCharType="separate"/>
            </w:r>
            <w:r w:rsidR="0075025B">
              <w:rPr>
                <w:rFonts w:ascii="Times New Roman" w:hAnsi="Times New Roman" w:cs="Times New Roman"/>
                <w:b w:val="0"/>
                <w:bCs w:val="0"/>
                <w:noProof/>
                <w:webHidden/>
                <w:sz w:val="24"/>
                <w:szCs w:val="24"/>
              </w:rPr>
              <w:t>7</w:t>
            </w:r>
            <w:r w:rsidRPr="00A40F45">
              <w:rPr>
                <w:rFonts w:ascii="Times New Roman" w:hAnsi="Times New Roman" w:cs="Times New Roman"/>
                <w:b w:val="0"/>
                <w:bCs w:val="0"/>
                <w:noProof/>
                <w:webHidden/>
                <w:sz w:val="24"/>
                <w:szCs w:val="24"/>
              </w:rPr>
              <w:fldChar w:fldCharType="end"/>
            </w:r>
          </w:hyperlink>
        </w:p>
        <w:p w14:paraId="7024C05C" w14:textId="59DD0FD5" w:rsidR="00A40F45" w:rsidRPr="00A40F45" w:rsidRDefault="00A40F45" w:rsidP="00A40F45">
          <w:pPr>
            <w:pStyle w:val="TOC2"/>
            <w:tabs>
              <w:tab w:val="right" w:leader="dot" w:pos="10456"/>
            </w:tabs>
            <w:spacing w:line="360" w:lineRule="auto"/>
            <w:rPr>
              <w:rFonts w:ascii="Times New Roman" w:eastAsiaTheme="minorEastAsia" w:hAnsi="Times New Roman" w:cs="Times New Roman"/>
              <w:b w:val="0"/>
              <w:bCs w:val="0"/>
              <w:noProof/>
              <w:kern w:val="2"/>
              <w:sz w:val="24"/>
              <w:szCs w:val="24"/>
              <w:lang w:val="en-HU" w:eastAsia="en-GB"/>
              <w14:ligatures w14:val="standardContextual"/>
            </w:rPr>
          </w:pPr>
          <w:hyperlink w:anchor="_Toc230603268" w:history="1">
            <w:r w:rsidRPr="00A40F45">
              <w:rPr>
                <w:rStyle w:val="Hyperlink"/>
                <w:b w:val="0"/>
                <w:bCs w:val="0"/>
                <w:noProof/>
                <w:sz w:val="24"/>
                <w:szCs w:val="24"/>
              </w:rPr>
              <w:t>2.5. Geopolitical Risk</w:t>
            </w:r>
            <w:r w:rsidRPr="00A40F45">
              <w:rPr>
                <w:rFonts w:ascii="Times New Roman" w:hAnsi="Times New Roman" w:cs="Times New Roman"/>
                <w:b w:val="0"/>
                <w:bCs w:val="0"/>
                <w:noProof/>
                <w:webHidden/>
                <w:sz w:val="24"/>
                <w:szCs w:val="24"/>
              </w:rPr>
              <w:tab/>
            </w:r>
            <w:r w:rsidRPr="00A40F45">
              <w:rPr>
                <w:rFonts w:ascii="Times New Roman" w:hAnsi="Times New Roman" w:cs="Times New Roman"/>
                <w:b w:val="0"/>
                <w:bCs w:val="0"/>
                <w:noProof/>
                <w:webHidden/>
                <w:sz w:val="24"/>
                <w:szCs w:val="24"/>
              </w:rPr>
              <w:fldChar w:fldCharType="begin"/>
            </w:r>
            <w:r w:rsidRPr="00A40F45">
              <w:rPr>
                <w:rFonts w:ascii="Times New Roman" w:hAnsi="Times New Roman" w:cs="Times New Roman"/>
                <w:b w:val="0"/>
                <w:bCs w:val="0"/>
                <w:noProof/>
                <w:webHidden/>
                <w:sz w:val="24"/>
                <w:szCs w:val="24"/>
              </w:rPr>
              <w:instrText xml:space="preserve"> PAGEREF _Toc230603268 \h </w:instrText>
            </w:r>
            <w:r w:rsidRPr="00A40F45">
              <w:rPr>
                <w:rFonts w:ascii="Times New Roman" w:hAnsi="Times New Roman" w:cs="Times New Roman"/>
                <w:b w:val="0"/>
                <w:bCs w:val="0"/>
                <w:noProof/>
                <w:webHidden/>
                <w:sz w:val="24"/>
                <w:szCs w:val="24"/>
              </w:rPr>
            </w:r>
            <w:r w:rsidRPr="00A40F45">
              <w:rPr>
                <w:rFonts w:ascii="Times New Roman" w:hAnsi="Times New Roman" w:cs="Times New Roman"/>
                <w:b w:val="0"/>
                <w:bCs w:val="0"/>
                <w:noProof/>
                <w:webHidden/>
                <w:sz w:val="24"/>
                <w:szCs w:val="24"/>
              </w:rPr>
              <w:fldChar w:fldCharType="separate"/>
            </w:r>
            <w:r w:rsidR="0075025B">
              <w:rPr>
                <w:rFonts w:ascii="Times New Roman" w:hAnsi="Times New Roman" w:cs="Times New Roman"/>
                <w:b w:val="0"/>
                <w:bCs w:val="0"/>
                <w:noProof/>
                <w:webHidden/>
                <w:sz w:val="24"/>
                <w:szCs w:val="24"/>
              </w:rPr>
              <w:t>8</w:t>
            </w:r>
            <w:r w:rsidRPr="00A40F45">
              <w:rPr>
                <w:rFonts w:ascii="Times New Roman" w:hAnsi="Times New Roman" w:cs="Times New Roman"/>
                <w:b w:val="0"/>
                <w:bCs w:val="0"/>
                <w:noProof/>
                <w:webHidden/>
                <w:sz w:val="24"/>
                <w:szCs w:val="24"/>
              </w:rPr>
              <w:fldChar w:fldCharType="end"/>
            </w:r>
          </w:hyperlink>
        </w:p>
        <w:p w14:paraId="4CF476BE" w14:textId="166249AE" w:rsidR="00A40F45" w:rsidRPr="00A40F45" w:rsidRDefault="00A40F45" w:rsidP="00A40F45">
          <w:pPr>
            <w:pStyle w:val="TOC1"/>
            <w:tabs>
              <w:tab w:val="right" w:leader="dot" w:pos="10456"/>
            </w:tabs>
            <w:spacing w:line="360" w:lineRule="auto"/>
            <w:rPr>
              <w:rFonts w:ascii="Times New Roman" w:eastAsiaTheme="minorEastAsia" w:hAnsi="Times New Roman" w:cs="Times New Roman"/>
              <w:b w:val="0"/>
              <w:bCs w:val="0"/>
              <w:i w:val="0"/>
              <w:iCs w:val="0"/>
              <w:noProof/>
              <w:kern w:val="2"/>
              <w:lang w:val="en-HU" w:eastAsia="en-GB"/>
              <w14:ligatures w14:val="standardContextual"/>
            </w:rPr>
          </w:pPr>
          <w:hyperlink w:anchor="_Toc230603269" w:history="1">
            <w:r w:rsidRPr="00A40F45">
              <w:rPr>
                <w:rStyle w:val="Hyperlink"/>
                <w:b w:val="0"/>
                <w:bCs w:val="0"/>
                <w:noProof/>
              </w:rPr>
              <w:t>3. TSMC’s Financial Exposure and Risk Management</w:t>
            </w:r>
            <w:r w:rsidRPr="00A40F45">
              <w:rPr>
                <w:rFonts w:ascii="Times New Roman" w:hAnsi="Times New Roman" w:cs="Times New Roman"/>
                <w:b w:val="0"/>
                <w:bCs w:val="0"/>
                <w:noProof/>
                <w:webHidden/>
              </w:rPr>
              <w:tab/>
            </w:r>
            <w:r w:rsidRPr="00A40F45">
              <w:rPr>
                <w:rFonts w:ascii="Times New Roman" w:hAnsi="Times New Roman" w:cs="Times New Roman"/>
                <w:b w:val="0"/>
                <w:bCs w:val="0"/>
                <w:noProof/>
                <w:webHidden/>
              </w:rPr>
              <w:fldChar w:fldCharType="begin"/>
            </w:r>
            <w:r w:rsidRPr="00A40F45">
              <w:rPr>
                <w:rFonts w:ascii="Times New Roman" w:hAnsi="Times New Roman" w:cs="Times New Roman"/>
                <w:b w:val="0"/>
                <w:bCs w:val="0"/>
                <w:noProof/>
                <w:webHidden/>
              </w:rPr>
              <w:instrText xml:space="preserve"> PAGEREF _Toc230603269 \h </w:instrText>
            </w:r>
            <w:r w:rsidRPr="00A40F45">
              <w:rPr>
                <w:rFonts w:ascii="Times New Roman" w:hAnsi="Times New Roman" w:cs="Times New Roman"/>
                <w:b w:val="0"/>
                <w:bCs w:val="0"/>
                <w:noProof/>
                <w:webHidden/>
              </w:rPr>
            </w:r>
            <w:r w:rsidRPr="00A40F45">
              <w:rPr>
                <w:rFonts w:ascii="Times New Roman" w:hAnsi="Times New Roman" w:cs="Times New Roman"/>
                <w:b w:val="0"/>
                <w:bCs w:val="0"/>
                <w:noProof/>
                <w:webHidden/>
              </w:rPr>
              <w:fldChar w:fldCharType="separate"/>
            </w:r>
            <w:r w:rsidR="0075025B">
              <w:rPr>
                <w:rFonts w:ascii="Times New Roman" w:hAnsi="Times New Roman" w:cs="Times New Roman"/>
                <w:b w:val="0"/>
                <w:bCs w:val="0"/>
                <w:noProof/>
                <w:webHidden/>
              </w:rPr>
              <w:t>10</w:t>
            </w:r>
            <w:r w:rsidRPr="00A40F45">
              <w:rPr>
                <w:rFonts w:ascii="Times New Roman" w:hAnsi="Times New Roman" w:cs="Times New Roman"/>
                <w:b w:val="0"/>
                <w:bCs w:val="0"/>
                <w:noProof/>
                <w:webHidden/>
              </w:rPr>
              <w:fldChar w:fldCharType="end"/>
            </w:r>
          </w:hyperlink>
        </w:p>
        <w:p w14:paraId="597C3176" w14:textId="528F1DAC" w:rsidR="00A40F45" w:rsidRPr="00A40F45" w:rsidRDefault="00A40F45" w:rsidP="00A40F45">
          <w:pPr>
            <w:pStyle w:val="TOC2"/>
            <w:tabs>
              <w:tab w:val="right" w:leader="dot" w:pos="10456"/>
            </w:tabs>
            <w:spacing w:line="360" w:lineRule="auto"/>
            <w:rPr>
              <w:rFonts w:ascii="Times New Roman" w:eastAsiaTheme="minorEastAsia" w:hAnsi="Times New Roman" w:cs="Times New Roman"/>
              <w:b w:val="0"/>
              <w:bCs w:val="0"/>
              <w:noProof/>
              <w:kern w:val="2"/>
              <w:sz w:val="24"/>
              <w:szCs w:val="24"/>
              <w:lang w:val="en-HU" w:eastAsia="en-GB"/>
              <w14:ligatures w14:val="standardContextual"/>
            </w:rPr>
          </w:pPr>
          <w:hyperlink w:anchor="_Toc230603270" w:history="1">
            <w:r w:rsidRPr="00A40F45">
              <w:rPr>
                <w:rStyle w:val="Hyperlink"/>
                <w:b w:val="0"/>
                <w:bCs w:val="0"/>
                <w:noProof/>
                <w:sz w:val="24"/>
                <w:szCs w:val="24"/>
              </w:rPr>
              <w:t>3.1. Overview of TSMC’s Financial Position</w:t>
            </w:r>
            <w:r w:rsidRPr="00A40F45">
              <w:rPr>
                <w:rFonts w:ascii="Times New Roman" w:hAnsi="Times New Roman" w:cs="Times New Roman"/>
                <w:b w:val="0"/>
                <w:bCs w:val="0"/>
                <w:noProof/>
                <w:webHidden/>
                <w:sz w:val="24"/>
                <w:szCs w:val="24"/>
              </w:rPr>
              <w:tab/>
            </w:r>
            <w:r w:rsidRPr="00A40F45">
              <w:rPr>
                <w:rFonts w:ascii="Times New Roman" w:hAnsi="Times New Roman" w:cs="Times New Roman"/>
                <w:b w:val="0"/>
                <w:bCs w:val="0"/>
                <w:noProof/>
                <w:webHidden/>
                <w:sz w:val="24"/>
                <w:szCs w:val="24"/>
              </w:rPr>
              <w:fldChar w:fldCharType="begin"/>
            </w:r>
            <w:r w:rsidRPr="00A40F45">
              <w:rPr>
                <w:rFonts w:ascii="Times New Roman" w:hAnsi="Times New Roman" w:cs="Times New Roman"/>
                <w:b w:val="0"/>
                <w:bCs w:val="0"/>
                <w:noProof/>
                <w:webHidden/>
                <w:sz w:val="24"/>
                <w:szCs w:val="24"/>
              </w:rPr>
              <w:instrText xml:space="preserve"> PAGEREF _Toc230603270 \h </w:instrText>
            </w:r>
            <w:r w:rsidRPr="00A40F45">
              <w:rPr>
                <w:rFonts w:ascii="Times New Roman" w:hAnsi="Times New Roman" w:cs="Times New Roman"/>
                <w:b w:val="0"/>
                <w:bCs w:val="0"/>
                <w:noProof/>
                <w:webHidden/>
                <w:sz w:val="24"/>
                <w:szCs w:val="24"/>
              </w:rPr>
            </w:r>
            <w:r w:rsidRPr="00A40F45">
              <w:rPr>
                <w:rFonts w:ascii="Times New Roman" w:hAnsi="Times New Roman" w:cs="Times New Roman"/>
                <w:b w:val="0"/>
                <w:bCs w:val="0"/>
                <w:noProof/>
                <w:webHidden/>
                <w:sz w:val="24"/>
                <w:szCs w:val="24"/>
              </w:rPr>
              <w:fldChar w:fldCharType="separate"/>
            </w:r>
            <w:r w:rsidR="0075025B">
              <w:rPr>
                <w:rFonts w:ascii="Times New Roman" w:hAnsi="Times New Roman" w:cs="Times New Roman"/>
                <w:b w:val="0"/>
                <w:bCs w:val="0"/>
                <w:noProof/>
                <w:webHidden/>
                <w:sz w:val="24"/>
                <w:szCs w:val="24"/>
              </w:rPr>
              <w:t>10</w:t>
            </w:r>
            <w:r w:rsidRPr="00A40F45">
              <w:rPr>
                <w:rFonts w:ascii="Times New Roman" w:hAnsi="Times New Roman" w:cs="Times New Roman"/>
                <w:b w:val="0"/>
                <w:bCs w:val="0"/>
                <w:noProof/>
                <w:webHidden/>
                <w:sz w:val="24"/>
                <w:szCs w:val="24"/>
              </w:rPr>
              <w:fldChar w:fldCharType="end"/>
            </w:r>
          </w:hyperlink>
        </w:p>
        <w:p w14:paraId="0C825EED" w14:textId="50B9918F" w:rsidR="00A40F45" w:rsidRPr="00A40F45" w:rsidRDefault="00A40F45" w:rsidP="00A40F45">
          <w:pPr>
            <w:pStyle w:val="TOC2"/>
            <w:tabs>
              <w:tab w:val="right" w:leader="dot" w:pos="10456"/>
            </w:tabs>
            <w:spacing w:line="360" w:lineRule="auto"/>
            <w:rPr>
              <w:rFonts w:ascii="Times New Roman" w:eastAsiaTheme="minorEastAsia" w:hAnsi="Times New Roman" w:cs="Times New Roman"/>
              <w:b w:val="0"/>
              <w:bCs w:val="0"/>
              <w:noProof/>
              <w:kern w:val="2"/>
              <w:sz w:val="24"/>
              <w:szCs w:val="24"/>
              <w:lang w:val="en-HU" w:eastAsia="en-GB"/>
              <w14:ligatures w14:val="standardContextual"/>
            </w:rPr>
          </w:pPr>
          <w:hyperlink w:anchor="_Toc230603271" w:history="1">
            <w:r w:rsidRPr="00A40F45">
              <w:rPr>
                <w:rStyle w:val="Hyperlink"/>
                <w:b w:val="0"/>
                <w:bCs w:val="0"/>
                <w:noProof/>
                <w:sz w:val="24"/>
                <w:szCs w:val="24"/>
              </w:rPr>
              <w:t>3.2. Analysis of Interest rate risk</w:t>
            </w:r>
            <w:r w:rsidRPr="00A40F45">
              <w:rPr>
                <w:rFonts w:ascii="Times New Roman" w:hAnsi="Times New Roman" w:cs="Times New Roman"/>
                <w:b w:val="0"/>
                <w:bCs w:val="0"/>
                <w:noProof/>
                <w:webHidden/>
                <w:sz w:val="24"/>
                <w:szCs w:val="24"/>
              </w:rPr>
              <w:tab/>
            </w:r>
            <w:r w:rsidRPr="00A40F45">
              <w:rPr>
                <w:rFonts w:ascii="Times New Roman" w:hAnsi="Times New Roman" w:cs="Times New Roman"/>
                <w:b w:val="0"/>
                <w:bCs w:val="0"/>
                <w:noProof/>
                <w:webHidden/>
                <w:sz w:val="24"/>
                <w:szCs w:val="24"/>
              </w:rPr>
              <w:fldChar w:fldCharType="begin"/>
            </w:r>
            <w:r w:rsidRPr="00A40F45">
              <w:rPr>
                <w:rFonts w:ascii="Times New Roman" w:hAnsi="Times New Roman" w:cs="Times New Roman"/>
                <w:b w:val="0"/>
                <w:bCs w:val="0"/>
                <w:noProof/>
                <w:webHidden/>
                <w:sz w:val="24"/>
                <w:szCs w:val="24"/>
              </w:rPr>
              <w:instrText xml:space="preserve"> PAGEREF _Toc230603271 \h </w:instrText>
            </w:r>
            <w:r w:rsidRPr="00A40F45">
              <w:rPr>
                <w:rFonts w:ascii="Times New Roman" w:hAnsi="Times New Roman" w:cs="Times New Roman"/>
                <w:b w:val="0"/>
                <w:bCs w:val="0"/>
                <w:noProof/>
                <w:webHidden/>
                <w:sz w:val="24"/>
                <w:szCs w:val="24"/>
              </w:rPr>
            </w:r>
            <w:r w:rsidRPr="00A40F45">
              <w:rPr>
                <w:rFonts w:ascii="Times New Roman" w:hAnsi="Times New Roman" w:cs="Times New Roman"/>
                <w:b w:val="0"/>
                <w:bCs w:val="0"/>
                <w:noProof/>
                <w:webHidden/>
                <w:sz w:val="24"/>
                <w:szCs w:val="24"/>
              </w:rPr>
              <w:fldChar w:fldCharType="separate"/>
            </w:r>
            <w:r w:rsidR="0075025B">
              <w:rPr>
                <w:rFonts w:ascii="Times New Roman" w:hAnsi="Times New Roman" w:cs="Times New Roman"/>
                <w:b w:val="0"/>
                <w:bCs w:val="0"/>
                <w:noProof/>
                <w:webHidden/>
                <w:sz w:val="24"/>
                <w:szCs w:val="24"/>
              </w:rPr>
              <w:t>15</w:t>
            </w:r>
            <w:r w:rsidRPr="00A40F45">
              <w:rPr>
                <w:rFonts w:ascii="Times New Roman" w:hAnsi="Times New Roman" w:cs="Times New Roman"/>
                <w:b w:val="0"/>
                <w:bCs w:val="0"/>
                <w:noProof/>
                <w:webHidden/>
                <w:sz w:val="24"/>
                <w:szCs w:val="24"/>
              </w:rPr>
              <w:fldChar w:fldCharType="end"/>
            </w:r>
          </w:hyperlink>
        </w:p>
        <w:p w14:paraId="00806286" w14:textId="1D5BE165" w:rsidR="00A40F45" w:rsidRPr="00A40F45" w:rsidRDefault="00A40F45" w:rsidP="00A40F45">
          <w:pPr>
            <w:pStyle w:val="TOC2"/>
            <w:tabs>
              <w:tab w:val="right" w:leader="dot" w:pos="10456"/>
            </w:tabs>
            <w:spacing w:line="360" w:lineRule="auto"/>
            <w:rPr>
              <w:rFonts w:ascii="Times New Roman" w:eastAsiaTheme="minorEastAsia" w:hAnsi="Times New Roman" w:cs="Times New Roman"/>
              <w:b w:val="0"/>
              <w:bCs w:val="0"/>
              <w:noProof/>
              <w:kern w:val="2"/>
              <w:sz w:val="24"/>
              <w:szCs w:val="24"/>
              <w:lang w:val="en-HU" w:eastAsia="en-GB"/>
              <w14:ligatures w14:val="standardContextual"/>
            </w:rPr>
          </w:pPr>
          <w:hyperlink w:anchor="_Toc230603272" w:history="1">
            <w:r w:rsidRPr="00A40F45">
              <w:rPr>
                <w:rStyle w:val="Hyperlink"/>
                <w:b w:val="0"/>
                <w:bCs w:val="0"/>
                <w:noProof/>
                <w:sz w:val="24"/>
                <w:szCs w:val="24"/>
              </w:rPr>
              <w:t>3.3. Analysis of Exchange rate risk</w:t>
            </w:r>
            <w:r w:rsidRPr="00A40F45">
              <w:rPr>
                <w:rFonts w:ascii="Times New Roman" w:hAnsi="Times New Roman" w:cs="Times New Roman"/>
                <w:b w:val="0"/>
                <w:bCs w:val="0"/>
                <w:noProof/>
                <w:webHidden/>
                <w:sz w:val="24"/>
                <w:szCs w:val="24"/>
              </w:rPr>
              <w:tab/>
            </w:r>
            <w:r w:rsidRPr="00A40F45">
              <w:rPr>
                <w:rFonts w:ascii="Times New Roman" w:hAnsi="Times New Roman" w:cs="Times New Roman"/>
                <w:b w:val="0"/>
                <w:bCs w:val="0"/>
                <w:noProof/>
                <w:webHidden/>
                <w:sz w:val="24"/>
                <w:szCs w:val="24"/>
              </w:rPr>
              <w:fldChar w:fldCharType="begin"/>
            </w:r>
            <w:r w:rsidRPr="00A40F45">
              <w:rPr>
                <w:rFonts w:ascii="Times New Roman" w:hAnsi="Times New Roman" w:cs="Times New Roman"/>
                <w:b w:val="0"/>
                <w:bCs w:val="0"/>
                <w:noProof/>
                <w:webHidden/>
                <w:sz w:val="24"/>
                <w:szCs w:val="24"/>
              </w:rPr>
              <w:instrText xml:space="preserve"> PAGEREF _Toc230603272 \h </w:instrText>
            </w:r>
            <w:r w:rsidRPr="00A40F45">
              <w:rPr>
                <w:rFonts w:ascii="Times New Roman" w:hAnsi="Times New Roman" w:cs="Times New Roman"/>
                <w:b w:val="0"/>
                <w:bCs w:val="0"/>
                <w:noProof/>
                <w:webHidden/>
                <w:sz w:val="24"/>
                <w:szCs w:val="24"/>
              </w:rPr>
            </w:r>
            <w:r w:rsidRPr="00A40F45">
              <w:rPr>
                <w:rFonts w:ascii="Times New Roman" w:hAnsi="Times New Roman" w:cs="Times New Roman"/>
                <w:b w:val="0"/>
                <w:bCs w:val="0"/>
                <w:noProof/>
                <w:webHidden/>
                <w:sz w:val="24"/>
                <w:szCs w:val="24"/>
              </w:rPr>
              <w:fldChar w:fldCharType="separate"/>
            </w:r>
            <w:r w:rsidR="0075025B">
              <w:rPr>
                <w:rFonts w:ascii="Times New Roman" w:hAnsi="Times New Roman" w:cs="Times New Roman"/>
                <w:b w:val="0"/>
                <w:bCs w:val="0"/>
                <w:noProof/>
                <w:webHidden/>
                <w:sz w:val="24"/>
                <w:szCs w:val="24"/>
              </w:rPr>
              <w:t>16</w:t>
            </w:r>
            <w:r w:rsidRPr="00A40F45">
              <w:rPr>
                <w:rFonts w:ascii="Times New Roman" w:hAnsi="Times New Roman" w:cs="Times New Roman"/>
                <w:b w:val="0"/>
                <w:bCs w:val="0"/>
                <w:noProof/>
                <w:webHidden/>
                <w:sz w:val="24"/>
                <w:szCs w:val="24"/>
              </w:rPr>
              <w:fldChar w:fldCharType="end"/>
            </w:r>
          </w:hyperlink>
        </w:p>
        <w:p w14:paraId="5850598A" w14:textId="58AA597B" w:rsidR="00A40F45" w:rsidRPr="00A40F45" w:rsidRDefault="00A40F45" w:rsidP="00A40F45">
          <w:pPr>
            <w:pStyle w:val="TOC2"/>
            <w:tabs>
              <w:tab w:val="right" w:leader="dot" w:pos="10456"/>
            </w:tabs>
            <w:spacing w:line="360" w:lineRule="auto"/>
            <w:rPr>
              <w:rFonts w:ascii="Times New Roman" w:eastAsiaTheme="minorEastAsia" w:hAnsi="Times New Roman" w:cs="Times New Roman"/>
              <w:b w:val="0"/>
              <w:bCs w:val="0"/>
              <w:noProof/>
              <w:kern w:val="2"/>
              <w:sz w:val="24"/>
              <w:szCs w:val="24"/>
              <w:lang w:val="en-HU" w:eastAsia="en-GB"/>
              <w14:ligatures w14:val="standardContextual"/>
            </w:rPr>
          </w:pPr>
          <w:hyperlink w:anchor="_Toc230603273" w:history="1">
            <w:r w:rsidRPr="00A40F45">
              <w:rPr>
                <w:rStyle w:val="Hyperlink"/>
                <w:b w:val="0"/>
                <w:bCs w:val="0"/>
                <w:noProof/>
                <w:sz w:val="24"/>
                <w:szCs w:val="24"/>
              </w:rPr>
              <w:t>3.4. Analysis of Inflation rate risk</w:t>
            </w:r>
            <w:r w:rsidRPr="00A40F45">
              <w:rPr>
                <w:rFonts w:ascii="Times New Roman" w:hAnsi="Times New Roman" w:cs="Times New Roman"/>
                <w:b w:val="0"/>
                <w:bCs w:val="0"/>
                <w:noProof/>
                <w:webHidden/>
                <w:sz w:val="24"/>
                <w:szCs w:val="24"/>
              </w:rPr>
              <w:tab/>
            </w:r>
            <w:r w:rsidRPr="00A40F45">
              <w:rPr>
                <w:rFonts w:ascii="Times New Roman" w:hAnsi="Times New Roman" w:cs="Times New Roman"/>
                <w:b w:val="0"/>
                <w:bCs w:val="0"/>
                <w:noProof/>
                <w:webHidden/>
                <w:sz w:val="24"/>
                <w:szCs w:val="24"/>
              </w:rPr>
              <w:fldChar w:fldCharType="begin"/>
            </w:r>
            <w:r w:rsidRPr="00A40F45">
              <w:rPr>
                <w:rFonts w:ascii="Times New Roman" w:hAnsi="Times New Roman" w:cs="Times New Roman"/>
                <w:b w:val="0"/>
                <w:bCs w:val="0"/>
                <w:noProof/>
                <w:webHidden/>
                <w:sz w:val="24"/>
                <w:szCs w:val="24"/>
              </w:rPr>
              <w:instrText xml:space="preserve"> PAGEREF _Toc230603273 \h </w:instrText>
            </w:r>
            <w:r w:rsidRPr="00A40F45">
              <w:rPr>
                <w:rFonts w:ascii="Times New Roman" w:hAnsi="Times New Roman" w:cs="Times New Roman"/>
                <w:b w:val="0"/>
                <w:bCs w:val="0"/>
                <w:noProof/>
                <w:webHidden/>
                <w:sz w:val="24"/>
                <w:szCs w:val="24"/>
              </w:rPr>
            </w:r>
            <w:r w:rsidRPr="00A40F45">
              <w:rPr>
                <w:rFonts w:ascii="Times New Roman" w:hAnsi="Times New Roman" w:cs="Times New Roman"/>
                <w:b w:val="0"/>
                <w:bCs w:val="0"/>
                <w:noProof/>
                <w:webHidden/>
                <w:sz w:val="24"/>
                <w:szCs w:val="24"/>
              </w:rPr>
              <w:fldChar w:fldCharType="separate"/>
            </w:r>
            <w:r w:rsidR="0075025B">
              <w:rPr>
                <w:rFonts w:ascii="Times New Roman" w:hAnsi="Times New Roman" w:cs="Times New Roman"/>
                <w:b w:val="0"/>
                <w:bCs w:val="0"/>
                <w:noProof/>
                <w:webHidden/>
                <w:sz w:val="24"/>
                <w:szCs w:val="24"/>
              </w:rPr>
              <w:t>18</w:t>
            </w:r>
            <w:r w:rsidRPr="00A40F45">
              <w:rPr>
                <w:rFonts w:ascii="Times New Roman" w:hAnsi="Times New Roman" w:cs="Times New Roman"/>
                <w:b w:val="0"/>
                <w:bCs w:val="0"/>
                <w:noProof/>
                <w:webHidden/>
                <w:sz w:val="24"/>
                <w:szCs w:val="24"/>
              </w:rPr>
              <w:fldChar w:fldCharType="end"/>
            </w:r>
          </w:hyperlink>
        </w:p>
        <w:p w14:paraId="1D87D914" w14:textId="62C56DCC" w:rsidR="00A40F45" w:rsidRPr="00A40F45" w:rsidRDefault="00A40F45" w:rsidP="00A40F45">
          <w:pPr>
            <w:pStyle w:val="TOC1"/>
            <w:tabs>
              <w:tab w:val="right" w:leader="dot" w:pos="10456"/>
            </w:tabs>
            <w:spacing w:line="360" w:lineRule="auto"/>
            <w:rPr>
              <w:rFonts w:ascii="Times New Roman" w:eastAsiaTheme="minorEastAsia" w:hAnsi="Times New Roman" w:cs="Times New Roman"/>
              <w:b w:val="0"/>
              <w:bCs w:val="0"/>
              <w:i w:val="0"/>
              <w:iCs w:val="0"/>
              <w:noProof/>
              <w:kern w:val="2"/>
              <w:lang w:val="en-HU" w:eastAsia="en-GB"/>
              <w14:ligatures w14:val="standardContextual"/>
            </w:rPr>
          </w:pPr>
          <w:hyperlink w:anchor="_Toc230603274" w:history="1">
            <w:r w:rsidRPr="00A40F45">
              <w:rPr>
                <w:rStyle w:val="Hyperlink"/>
                <w:b w:val="0"/>
                <w:bCs w:val="0"/>
                <w:noProof/>
              </w:rPr>
              <w:t>4. Conclusions</w:t>
            </w:r>
            <w:r w:rsidRPr="00A40F45">
              <w:rPr>
                <w:rFonts w:ascii="Times New Roman" w:hAnsi="Times New Roman" w:cs="Times New Roman"/>
                <w:b w:val="0"/>
                <w:bCs w:val="0"/>
                <w:noProof/>
                <w:webHidden/>
              </w:rPr>
              <w:tab/>
            </w:r>
            <w:r w:rsidRPr="00A40F45">
              <w:rPr>
                <w:rFonts w:ascii="Times New Roman" w:hAnsi="Times New Roman" w:cs="Times New Roman"/>
                <w:b w:val="0"/>
                <w:bCs w:val="0"/>
                <w:noProof/>
                <w:webHidden/>
              </w:rPr>
              <w:fldChar w:fldCharType="begin"/>
            </w:r>
            <w:r w:rsidRPr="00A40F45">
              <w:rPr>
                <w:rFonts w:ascii="Times New Roman" w:hAnsi="Times New Roman" w:cs="Times New Roman"/>
                <w:b w:val="0"/>
                <w:bCs w:val="0"/>
                <w:noProof/>
                <w:webHidden/>
              </w:rPr>
              <w:instrText xml:space="preserve"> PAGEREF _Toc230603274 \h </w:instrText>
            </w:r>
            <w:r w:rsidRPr="00A40F45">
              <w:rPr>
                <w:rFonts w:ascii="Times New Roman" w:hAnsi="Times New Roman" w:cs="Times New Roman"/>
                <w:b w:val="0"/>
                <w:bCs w:val="0"/>
                <w:noProof/>
                <w:webHidden/>
              </w:rPr>
            </w:r>
            <w:r w:rsidRPr="00A40F45">
              <w:rPr>
                <w:rFonts w:ascii="Times New Roman" w:hAnsi="Times New Roman" w:cs="Times New Roman"/>
                <w:b w:val="0"/>
                <w:bCs w:val="0"/>
                <w:noProof/>
                <w:webHidden/>
              </w:rPr>
              <w:fldChar w:fldCharType="separate"/>
            </w:r>
            <w:r w:rsidR="0075025B">
              <w:rPr>
                <w:rFonts w:ascii="Times New Roman" w:hAnsi="Times New Roman" w:cs="Times New Roman"/>
                <w:b w:val="0"/>
                <w:bCs w:val="0"/>
                <w:noProof/>
                <w:webHidden/>
              </w:rPr>
              <w:t>20</w:t>
            </w:r>
            <w:r w:rsidRPr="00A40F45">
              <w:rPr>
                <w:rFonts w:ascii="Times New Roman" w:hAnsi="Times New Roman" w:cs="Times New Roman"/>
                <w:b w:val="0"/>
                <w:bCs w:val="0"/>
                <w:noProof/>
                <w:webHidden/>
              </w:rPr>
              <w:fldChar w:fldCharType="end"/>
            </w:r>
          </w:hyperlink>
        </w:p>
        <w:p w14:paraId="7F9FA050" w14:textId="1159C1A7" w:rsidR="00A40F45" w:rsidRPr="00A40F45" w:rsidRDefault="00A40F45" w:rsidP="00A40F45">
          <w:pPr>
            <w:pStyle w:val="TOC1"/>
            <w:tabs>
              <w:tab w:val="right" w:leader="dot" w:pos="10456"/>
            </w:tabs>
            <w:spacing w:line="360" w:lineRule="auto"/>
            <w:rPr>
              <w:rFonts w:ascii="Times New Roman" w:eastAsiaTheme="minorEastAsia" w:hAnsi="Times New Roman" w:cs="Times New Roman"/>
              <w:b w:val="0"/>
              <w:bCs w:val="0"/>
              <w:i w:val="0"/>
              <w:iCs w:val="0"/>
              <w:noProof/>
              <w:kern w:val="2"/>
              <w:lang w:val="en-HU" w:eastAsia="en-GB"/>
              <w14:ligatures w14:val="standardContextual"/>
            </w:rPr>
          </w:pPr>
          <w:hyperlink w:anchor="_Toc230603275" w:history="1">
            <w:r w:rsidRPr="00A40F45">
              <w:rPr>
                <w:rStyle w:val="Hyperlink"/>
                <w:b w:val="0"/>
                <w:bCs w:val="0"/>
                <w:noProof/>
              </w:rPr>
              <w:t>Appendix</w:t>
            </w:r>
            <w:r w:rsidRPr="00A40F45">
              <w:rPr>
                <w:rFonts w:ascii="Times New Roman" w:hAnsi="Times New Roman" w:cs="Times New Roman"/>
                <w:b w:val="0"/>
                <w:bCs w:val="0"/>
                <w:noProof/>
                <w:webHidden/>
              </w:rPr>
              <w:tab/>
            </w:r>
            <w:r w:rsidRPr="00A40F45">
              <w:rPr>
                <w:rFonts w:ascii="Times New Roman" w:hAnsi="Times New Roman" w:cs="Times New Roman"/>
                <w:b w:val="0"/>
                <w:bCs w:val="0"/>
                <w:noProof/>
                <w:webHidden/>
              </w:rPr>
              <w:fldChar w:fldCharType="begin"/>
            </w:r>
            <w:r w:rsidRPr="00A40F45">
              <w:rPr>
                <w:rFonts w:ascii="Times New Roman" w:hAnsi="Times New Roman" w:cs="Times New Roman"/>
                <w:b w:val="0"/>
                <w:bCs w:val="0"/>
                <w:noProof/>
                <w:webHidden/>
              </w:rPr>
              <w:instrText xml:space="preserve"> PAGEREF _Toc230603275 \h </w:instrText>
            </w:r>
            <w:r w:rsidRPr="00A40F45">
              <w:rPr>
                <w:rFonts w:ascii="Times New Roman" w:hAnsi="Times New Roman" w:cs="Times New Roman"/>
                <w:b w:val="0"/>
                <w:bCs w:val="0"/>
                <w:noProof/>
                <w:webHidden/>
              </w:rPr>
            </w:r>
            <w:r w:rsidRPr="00A40F45">
              <w:rPr>
                <w:rFonts w:ascii="Times New Roman" w:hAnsi="Times New Roman" w:cs="Times New Roman"/>
                <w:b w:val="0"/>
                <w:bCs w:val="0"/>
                <w:noProof/>
                <w:webHidden/>
              </w:rPr>
              <w:fldChar w:fldCharType="separate"/>
            </w:r>
            <w:r w:rsidR="0075025B">
              <w:rPr>
                <w:rFonts w:ascii="Times New Roman" w:hAnsi="Times New Roman" w:cs="Times New Roman"/>
                <w:b w:val="0"/>
                <w:bCs w:val="0"/>
                <w:noProof/>
                <w:webHidden/>
              </w:rPr>
              <w:t>21</w:t>
            </w:r>
            <w:r w:rsidRPr="00A40F45">
              <w:rPr>
                <w:rFonts w:ascii="Times New Roman" w:hAnsi="Times New Roman" w:cs="Times New Roman"/>
                <w:b w:val="0"/>
                <w:bCs w:val="0"/>
                <w:noProof/>
                <w:webHidden/>
              </w:rPr>
              <w:fldChar w:fldCharType="end"/>
            </w:r>
          </w:hyperlink>
        </w:p>
        <w:p w14:paraId="29D62B47" w14:textId="766654EF" w:rsidR="00A40F45" w:rsidRPr="00A40F45" w:rsidRDefault="00A40F45" w:rsidP="00A40F45">
          <w:pPr>
            <w:pStyle w:val="TOC1"/>
            <w:tabs>
              <w:tab w:val="right" w:leader="dot" w:pos="10456"/>
            </w:tabs>
            <w:spacing w:line="360" w:lineRule="auto"/>
            <w:rPr>
              <w:rFonts w:ascii="Times New Roman" w:eastAsiaTheme="minorEastAsia" w:hAnsi="Times New Roman" w:cs="Times New Roman"/>
              <w:b w:val="0"/>
              <w:bCs w:val="0"/>
              <w:i w:val="0"/>
              <w:iCs w:val="0"/>
              <w:noProof/>
              <w:kern w:val="2"/>
              <w:lang w:val="en-HU" w:eastAsia="en-GB"/>
              <w14:ligatures w14:val="standardContextual"/>
            </w:rPr>
          </w:pPr>
          <w:hyperlink w:anchor="_Toc230603276" w:history="1">
            <w:r w:rsidRPr="00A40F45">
              <w:rPr>
                <w:rStyle w:val="Hyperlink"/>
                <w:b w:val="0"/>
                <w:bCs w:val="0"/>
                <w:noProof/>
              </w:rPr>
              <w:t>Refer</w:t>
            </w:r>
            <w:r w:rsidRPr="00A40F45">
              <w:rPr>
                <w:rStyle w:val="Hyperlink"/>
                <w:b w:val="0"/>
                <w:bCs w:val="0"/>
                <w:noProof/>
              </w:rPr>
              <w:t>e</w:t>
            </w:r>
            <w:r w:rsidRPr="00A40F45">
              <w:rPr>
                <w:rStyle w:val="Hyperlink"/>
                <w:b w:val="0"/>
                <w:bCs w:val="0"/>
                <w:noProof/>
              </w:rPr>
              <w:t>nces</w:t>
            </w:r>
            <w:r w:rsidRPr="00A40F45">
              <w:rPr>
                <w:rFonts w:ascii="Times New Roman" w:hAnsi="Times New Roman" w:cs="Times New Roman"/>
                <w:b w:val="0"/>
                <w:bCs w:val="0"/>
                <w:noProof/>
                <w:webHidden/>
              </w:rPr>
              <w:tab/>
            </w:r>
            <w:r w:rsidRPr="00A40F45">
              <w:rPr>
                <w:rFonts w:ascii="Times New Roman" w:hAnsi="Times New Roman" w:cs="Times New Roman"/>
                <w:b w:val="0"/>
                <w:bCs w:val="0"/>
                <w:noProof/>
                <w:webHidden/>
              </w:rPr>
              <w:fldChar w:fldCharType="begin"/>
            </w:r>
            <w:r w:rsidRPr="00A40F45">
              <w:rPr>
                <w:rFonts w:ascii="Times New Roman" w:hAnsi="Times New Roman" w:cs="Times New Roman"/>
                <w:b w:val="0"/>
                <w:bCs w:val="0"/>
                <w:noProof/>
                <w:webHidden/>
              </w:rPr>
              <w:instrText xml:space="preserve"> PAGEREF _Toc230603276 \h </w:instrText>
            </w:r>
            <w:r w:rsidRPr="00A40F45">
              <w:rPr>
                <w:rFonts w:ascii="Times New Roman" w:hAnsi="Times New Roman" w:cs="Times New Roman"/>
                <w:b w:val="0"/>
                <w:bCs w:val="0"/>
                <w:noProof/>
                <w:webHidden/>
              </w:rPr>
            </w:r>
            <w:r w:rsidRPr="00A40F45">
              <w:rPr>
                <w:rFonts w:ascii="Times New Roman" w:hAnsi="Times New Roman" w:cs="Times New Roman"/>
                <w:b w:val="0"/>
                <w:bCs w:val="0"/>
                <w:noProof/>
                <w:webHidden/>
              </w:rPr>
              <w:fldChar w:fldCharType="separate"/>
            </w:r>
            <w:r w:rsidR="0075025B">
              <w:rPr>
                <w:rFonts w:ascii="Times New Roman" w:hAnsi="Times New Roman" w:cs="Times New Roman"/>
                <w:b w:val="0"/>
                <w:bCs w:val="0"/>
                <w:noProof/>
                <w:webHidden/>
              </w:rPr>
              <w:t>22</w:t>
            </w:r>
            <w:r w:rsidRPr="00A40F45">
              <w:rPr>
                <w:rFonts w:ascii="Times New Roman" w:hAnsi="Times New Roman" w:cs="Times New Roman"/>
                <w:b w:val="0"/>
                <w:bCs w:val="0"/>
                <w:noProof/>
                <w:webHidden/>
              </w:rPr>
              <w:fldChar w:fldCharType="end"/>
            </w:r>
          </w:hyperlink>
        </w:p>
        <w:p w14:paraId="2FB67C77" w14:textId="18471332" w:rsidR="00BD5365" w:rsidRPr="00A40F45" w:rsidRDefault="00BD5365" w:rsidP="00A40F45">
          <w:pPr>
            <w:spacing w:line="360" w:lineRule="auto"/>
            <w:rPr>
              <w:rFonts w:ascii="Times New Roman" w:hAnsi="Times New Roman" w:cs="Times New Roman"/>
            </w:rPr>
          </w:pPr>
          <w:r w:rsidRPr="00A40F45">
            <w:rPr>
              <w:rFonts w:ascii="Times New Roman" w:hAnsi="Times New Roman" w:cs="Times New Roman"/>
              <w:noProof/>
            </w:rPr>
            <w:fldChar w:fldCharType="end"/>
          </w:r>
        </w:p>
        <w:p w14:paraId="1F7F7937" w14:textId="7859FFC7" w:rsidR="00BD5365" w:rsidRPr="00A40F45" w:rsidRDefault="00000000" w:rsidP="00A40F45">
          <w:pPr>
            <w:spacing w:line="360" w:lineRule="auto"/>
            <w:rPr>
              <w:rFonts w:ascii="Times New Roman" w:hAnsi="Times New Roman" w:cs="Times New Roman"/>
              <w:noProof/>
            </w:rPr>
          </w:pPr>
        </w:p>
      </w:sdtContent>
    </w:sdt>
    <w:p w14:paraId="378276E2" w14:textId="7B023A32" w:rsidR="004058C1" w:rsidRPr="00A40F45" w:rsidRDefault="004058C1" w:rsidP="00A40F45">
      <w:pPr>
        <w:spacing w:line="360" w:lineRule="auto"/>
        <w:rPr>
          <w:rFonts w:ascii="Times New Roman" w:hAnsi="Times New Roman" w:cs="Times New Roman"/>
        </w:rPr>
      </w:pPr>
      <w:r w:rsidRPr="00A40F45">
        <w:rPr>
          <w:rFonts w:ascii="Times New Roman" w:hAnsi="Times New Roman" w:cs="Times New Roman"/>
          <w:color w:val="000000" w:themeColor="text1"/>
        </w:rPr>
        <w:br w:type="page"/>
      </w:r>
    </w:p>
    <w:p w14:paraId="34CE6D0F" w14:textId="3D7BB34C" w:rsidR="008D6EAF" w:rsidRPr="00127702" w:rsidRDefault="004058C1" w:rsidP="00127702">
      <w:pPr>
        <w:pStyle w:val="Heading1"/>
        <w:spacing w:line="360" w:lineRule="auto"/>
        <w:rPr>
          <w:rFonts w:ascii="Times New Roman" w:hAnsi="Times New Roman" w:cs="Times New Roman"/>
        </w:rPr>
      </w:pPr>
      <w:bookmarkStart w:id="0" w:name="_Toc230603262"/>
      <w:r w:rsidRPr="00127702">
        <w:rPr>
          <w:rFonts w:ascii="Times New Roman" w:hAnsi="Times New Roman" w:cs="Times New Roman"/>
        </w:rPr>
        <w:lastRenderedPageBreak/>
        <w:t>1.Introduction</w:t>
      </w:r>
      <w:bookmarkEnd w:id="0"/>
      <w:r w:rsidRPr="00127702">
        <w:rPr>
          <w:rFonts w:ascii="Times New Roman" w:hAnsi="Times New Roman" w:cs="Times New Roman"/>
        </w:rPr>
        <w:t xml:space="preserve"> </w:t>
      </w:r>
    </w:p>
    <w:p w14:paraId="5204D640" w14:textId="4C0921FD" w:rsidR="00A17F01" w:rsidRPr="00A12137" w:rsidRDefault="006D4FE9" w:rsidP="0085188C">
      <w:pPr>
        <w:spacing w:line="360" w:lineRule="auto"/>
        <w:ind w:firstLine="198"/>
        <w:jc w:val="both"/>
        <w:rPr>
          <w:rFonts w:ascii="Times New Roman" w:hAnsi="Times New Roman" w:cs="Times New Roman"/>
          <w:color w:val="000000" w:themeColor="text1"/>
        </w:rPr>
      </w:pPr>
      <w:r w:rsidRPr="00A12137">
        <w:rPr>
          <w:rFonts w:ascii="Times New Roman" w:hAnsi="Times New Roman" w:cs="Times New Roman"/>
          <w:color w:val="000000" w:themeColor="text1"/>
        </w:rPr>
        <w:t xml:space="preserve">In recent years, </w:t>
      </w:r>
      <w:r w:rsidR="003428B6" w:rsidRPr="00A12137">
        <w:rPr>
          <w:rFonts w:ascii="Times New Roman" w:hAnsi="Times New Roman" w:cs="Times New Roman"/>
          <w:color w:val="000000" w:themeColor="text1"/>
        </w:rPr>
        <w:t>the global semiconductor industry became one of the most important industries for the world economy. Advances in fields such as cloud computing, consumer electronics and artificial intelligence (AI) systems made it so that the demand for semiconductors has exponentially increased</w:t>
      </w:r>
      <w:r w:rsidR="006B768D" w:rsidRPr="00A12137">
        <w:rPr>
          <w:rFonts w:ascii="Times New Roman" w:hAnsi="Times New Roman" w:cs="Times New Roman"/>
          <w:color w:val="000000" w:themeColor="text1"/>
        </w:rPr>
        <w:t xml:space="preserve"> (Hyatt et al., 2024</w:t>
      </w:r>
      <w:r w:rsidR="00133CF6" w:rsidRPr="00A12137">
        <w:rPr>
          <w:rFonts w:ascii="Times New Roman" w:hAnsi="Times New Roman" w:cs="Times New Roman"/>
          <w:color w:val="000000" w:themeColor="text1"/>
        </w:rPr>
        <w:t>; Liu et al., 2025)</w:t>
      </w:r>
      <w:r w:rsidR="003428B6" w:rsidRPr="00A12137">
        <w:rPr>
          <w:rFonts w:ascii="Times New Roman" w:hAnsi="Times New Roman" w:cs="Times New Roman"/>
          <w:color w:val="000000" w:themeColor="text1"/>
        </w:rPr>
        <w:t>. Specifically</w:t>
      </w:r>
      <w:r w:rsidR="00A41498" w:rsidRPr="00A12137">
        <w:rPr>
          <w:rFonts w:ascii="Times New Roman" w:hAnsi="Times New Roman" w:cs="Times New Roman"/>
          <w:color w:val="000000" w:themeColor="text1"/>
        </w:rPr>
        <w:t>, AI has increasingly become a significant factor contributing to economic growth in major economies such as China, the United States, and various countries within Europe (Gonzales, 2023)</w:t>
      </w:r>
      <w:r w:rsidR="003428B6" w:rsidRPr="00A12137">
        <w:rPr>
          <w:rFonts w:ascii="Times New Roman" w:hAnsi="Times New Roman" w:cs="Times New Roman"/>
          <w:color w:val="000000" w:themeColor="text1"/>
        </w:rPr>
        <w:t xml:space="preserve">. </w:t>
      </w:r>
    </w:p>
    <w:p w14:paraId="2B79398B" w14:textId="05AF6AA4" w:rsidR="006B1186" w:rsidRPr="00A12137" w:rsidRDefault="00133CF6" w:rsidP="0085188C">
      <w:pPr>
        <w:spacing w:line="360" w:lineRule="auto"/>
        <w:ind w:firstLine="198"/>
        <w:jc w:val="both"/>
        <w:rPr>
          <w:rFonts w:ascii="Times New Roman" w:hAnsi="Times New Roman" w:cs="Times New Roman"/>
          <w:color w:val="000000" w:themeColor="text1"/>
        </w:rPr>
      </w:pPr>
      <w:r w:rsidRPr="00A12137">
        <w:rPr>
          <w:rFonts w:ascii="Times New Roman" w:hAnsi="Times New Roman" w:cs="Times New Roman"/>
          <w:color w:val="000000" w:themeColor="text1"/>
        </w:rPr>
        <w:t xml:space="preserve">At the center of this innovational transformation stands the world’s most advanced semiconductor manufacturer, the </w:t>
      </w:r>
      <w:r w:rsidRPr="00A12137">
        <w:rPr>
          <w:rFonts w:ascii="Times New Roman" w:hAnsi="Times New Roman" w:cs="Times New Roman"/>
          <w:color w:val="000000" w:themeColor="text1"/>
        </w:rPr>
        <w:t>Taiwan Semiconductors Manufacturing Company (TSMC)</w:t>
      </w:r>
      <w:r w:rsidR="00A17F01" w:rsidRPr="00A12137">
        <w:rPr>
          <w:rFonts w:ascii="Times New Roman" w:hAnsi="Times New Roman" w:cs="Times New Roman"/>
          <w:color w:val="000000" w:themeColor="text1"/>
        </w:rPr>
        <w:t xml:space="preserve">, which </w:t>
      </w:r>
      <w:r w:rsidR="00A17F01" w:rsidRPr="00A12137">
        <w:rPr>
          <w:rFonts w:ascii="Times New Roman" w:hAnsi="Times New Roman" w:cs="Times New Roman"/>
          <w:color w:val="000000" w:themeColor="text1"/>
        </w:rPr>
        <w:t>produces almost all the world's supply of high processing units.</w:t>
      </w:r>
      <w:r w:rsidR="00A17F01" w:rsidRPr="00A12137">
        <w:rPr>
          <w:rFonts w:ascii="Times New Roman" w:hAnsi="Times New Roman" w:cs="Times New Roman"/>
          <w:color w:val="000000" w:themeColor="text1"/>
        </w:rPr>
        <w:t xml:space="preserve"> In addition, the</w:t>
      </w:r>
      <w:r w:rsidR="00A17F01" w:rsidRPr="00A12137">
        <w:rPr>
          <w:rFonts w:ascii="Times New Roman" w:hAnsi="Times New Roman" w:cs="Times New Roman"/>
          <w:color w:val="000000" w:themeColor="text1"/>
        </w:rPr>
        <w:t xml:space="preserve"> </w:t>
      </w:r>
      <w:r w:rsidR="00A17F01" w:rsidRPr="00A12137">
        <w:rPr>
          <w:rFonts w:ascii="Times New Roman" w:hAnsi="Times New Roman" w:cs="Times New Roman"/>
          <w:color w:val="000000" w:themeColor="text1"/>
        </w:rPr>
        <w:t>company</w:t>
      </w:r>
      <w:r w:rsidR="00A17F01" w:rsidRPr="00A12137">
        <w:rPr>
          <w:rFonts w:ascii="Times New Roman" w:hAnsi="Times New Roman" w:cs="Times New Roman"/>
          <w:color w:val="000000" w:themeColor="text1"/>
        </w:rPr>
        <w:t xml:space="preserve"> was founded in 1987 in Taiwan and went public on the Taiwan Stock Exchange 7 years later. </w:t>
      </w:r>
      <w:r w:rsidR="00A17F01" w:rsidRPr="00A12137">
        <w:rPr>
          <w:rFonts w:ascii="Times New Roman" w:hAnsi="Times New Roman" w:cs="Times New Roman"/>
          <w:color w:val="000000" w:themeColor="text1"/>
        </w:rPr>
        <w:t>The firm</w:t>
      </w:r>
      <w:r w:rsidR="00A17F01" w:rsidRPr="00A12137">
        <w:rPr>
          <w:rFonts w:ascii="Times New Roman" w:hAnsi="Times New Roman" w:cs="Times New Roman"/>
          <w:color w:val="000000" w:themeColor="text1"/>
        </w:rPr>
        <w:t xml:space="preserve"> was </w:t>
      </w:r>
      <w:r w:rsidR="00A17F01" w:rsidRPr="00A12137">
        <w:rPr>
          <w:rFonts w:ascii="Times New Roman" w:hAnsi="Times New Roman" w:cs="Times New Roman"/>
          <w:color w:val="000000" w:themeColor="text1"/>
        </w:rPr>
        <w:t>funded in its early days</w:t>
      </w:r>
      <w:r w:rsidR="00A17F01" w:rsidRPr="00A12137">
        <w:rPr>
          <w:rFonts w:ascii="Times New Roman" w:hAnsi="Times New Roman" w:cs="Times New Roman"/>
          <w:color w:val="000000" w:themeColor="text1"/>
        </w:rPr>
        <w:t xml:space="preserve"> by wealthy Taiwanese families with private businesses. </w:t>
      </w:r>
      <w:r w:rsidR="00A17F01" w:rsidRPr="00A12137">
        <w:rPr>
          <w:rFonts w:ascii="Times New Roman" w:hAnsi="Times New Roman" w:cs="Times New Roman"/>
          <w:color w:val="000000" w:themeColor="text1"/>
        </w:rPr>
        <w:t>High</w:t>
      </w:r>
      <w:r w:rsidR="00A17F01" w:rsidRPr="00A12137">
        <w:rPr>
          <w:rFonts w:ascii="Times New Roman" w:hAnsi="Times New Roman" w:cs="Times New Roman"/>
          <w:color w:val="000000" w:themeColor="text1"/>
        </w:rPr>
        <w:t xml:space="preserve"> initial investments put the company on a path of rapid growth, specializing quickly in the production of the smallest, and therefore fastest, processing units worldwide. They acquired Apple as their most important client in 2014, establishing stability in their previously demand cycle dependent sales (TSMC, 2025). </w:t>
      </w:r>
      <w:r w:rsidR="006B1186" w:rsidRPr="00A12137">
        <w:rPr>
          <w:rFonts w:ascii="Times New Roman" w:hAnsi="Times New Roman" w:cs="Times New Roman"/>
          <w:color w:val="000000" w:themeColor="text1"/>
        </w:rPr>
        <w:t>Currently, it also manufactures chips for several other major leading tech companies in the global economy such as Nvidia, AMD and Qualcomm.</w:t>
      </w:r>
    </w:p>
    <w:p w14:paraId="77078193" w14:textId="74C74CE3" w:rsidR="006B1186" w:rsidRPr="00AB72AF" w:rsidRDefault="006B1186" w:rsidP="0085188C">
      <w:pPr>
        <w:spacing w:line="360" w:lineRule="auto"/>
        <w:ind w:firstLine="198"/>
        <w:jc w:val="both"/>
        <w:rPr>
          <w:rFonts w:ascii="Times New Roman" w:hAnsi="Times New Roman" w:cs="Times New Roman"/>
        </w:rPr>
      </w:pPr>
      <w:r w:rsidRPr="00A12137">
        <w:rPr>
          <w:rFonts w:ascii="Times New Roman" w:hAnsi="Times New Roman" w:cs="Times New Roman"/>
          <w:color w:val="000000" w:themeColor="text1"/>
        </w:rPr>
        <w:t xml:space="preserve">The geopolitical tensions between Taiwan and China have played a big role in the geographic diversification of the company (Reuters, 2025). Since 2020, Taiwan has chosen to open subsidiaries around the world, while at the same time pledging to use 100% renewable energy by 2050 (TSMC, 2025). </w:t>
      </w:r>
      <w:r w:rsidR="008D6A6F" w:rsidRPr="00A12137">
        <w:rPr>
          <w:rFonts w:ascii="Times New Roman" w:hAnsi="Times New Roman" w:cs="Times New Roman"/>
          <w:color w:val="000000" w:themeColor="text1"/>
        </w:rPr>
        <w:t>Furthermore, i</w:t>
      </w:r>
      <w:r w:rsidRPr="00A12137">
        <w:rPr>
          <w:rFonts w:ascii="Times New Roman" w:hAnsi="Times New Roman" w:cs="Times New Roman"/>
          <w:color w:val="000000" w:themeColor="text1"/>
        </w:rPr>
        <w:t xml:space="preserve">ncreasing tensions between the two superpowers, the USA and China made semiconductors a strategically relevant good and therefore the US introduced the CHIPS Act in 2022, which made TSMC even more </w:t>
      </w:r>
      <w:r w:rsidR="008D6A6F" w:rsidRPr="00A12137">
        <w:rPr>
          <w:rFonts w:ascii="Times New Roman" w:hAnsi="Times New Roman" w:cs="Times New Roman"/>
          <w:color w:val="000000" w:themeColor="text1"/>
        </w:rPr>
        <w:t xml:space="preserve">motivated to open subsidiaries in the US and shift some of its manufacturing processes to other countries that implemented similar subsidies for semiconductor manufacturers </w:t>
      </w:r>
      <w:r w:rsidR="008D6A6F" w:rsidRPr="00A12137">
        <w:rPr>
          <w:rFonts w:ascii="Times New Roman" w:hAnsi="Times New Roman" w:cs="Times New Roman"/>
        </w:rPr>
        <w:t>(Hyatt et al., 2024).</w:t>
      </w:r>
      <w:r w:rsidR="008D6A6F" w:rsidRPr="00A12137">
        <w:rPr>
          <w:rFonts w:ascii="Times New Roman" w:hAnsi="Times New Roman" w:cs="Times New Roman"/>
        </w:rPr>
        <w:t xml:space="preserve"> </w:t>
      </w:r>
    </w:p>
    <w:p w14:paraId="3D33DE42" w14:textId="0FC02B3C" w:rsidR="008D6A6F" w:rsidRPr="00A12137" w:rsidRDefault="006B1186" w:rsidP="0085188C">
      <w:pPr>
        <w:spacing w:line="360" w:lineRule="auto"/>
        <w:ind w:firstLine="198"/>
        <w:jc w:val="both"/>
        <w:rPr>
          <w:rFonts w:ascii="Times New Roman" w:hAnsi="Times New Roman" w:cs="Times New Roman"/>
        </w:rPr>
      </w:pPr>
      <w:r w:rsidRPr="00A12137">
        <w:rPr>
          <w:rFonts w:ascii="Times New Roman" w:hAnsi="Times New Roman" w:cs="Times New Roman"/>
          <w:color w:val="000000" w:themeColor="text1"/>
        </w:rPr>
        <w:t xml:space="preserve">TSMC continues to push the boundaries in the manufacturing of processing units, being the first to produce 3nm chips in 2022 and 2nm chips in 2025. </w:t>
      </w:r>
      <w:r w:rsidRPr="00A12137">
        <w:rPr>
          <w:rFonts w:ascii="Times New Roman" w:hAnsi="Times New Roman" w:cs="Times New Roman"/>
          <w:color w:val="000000" w:themeColor="text1"/>
        </w:rPr>
        <w:t>This resulted in</w:t>
      </w:r>
      <w:r w:rsidRPr="00A12137">
        <w:rPr>
          <w:rFonts w:ascii="Times New Roman" w:hAnsi="Times New Roman" w:cs="Times New Roman"/>
          <w:color w:val="000000" w:themeColor="text1"/>
        </w:rPr>
        <w:t xml:space="preserve"> the foundry also dominat</w:t>
      </w:r>
      <w:r w:rsidRPr="00A12137">
        <w:rPr>
          <w:rFonts w:ascii="Times New Roman" w:hAnsi="Times New Roman" w:cs="Times New Roman"/>
          <w:color w:val="000000" w:themeColor="text1"/>
        </w:rPr>
        <w:t xml:space="preserve">ing </w:t>
      </w:r>
      <w:r w:rsidRPr="00A12137">
        <w:rPr>
          <w:rFonts w:ascii="Times New Roman" w:hAnsi="Times New Roman" w:cs="Times New Roman"/>
          <w:color w:val="000000" w:themeColor="text1"/>
        </w:rPr>
        <w:t xml:space="preserve">the market for chips below the 10nm process level, making the company an even more dominant player in its industry </w:t>
      </w:r>
      <w:r w:rsidRPr="00A12137">
        <w:rPr>
          <w:rFonts w:ascii="Times New Roman" w:hAnsi="Times New Roman" w:cs="Times New Roman"/>
        </w:rPr>
        <w:t>(van der Steen, 2022).</w:t>
      </w:r>
      <w:r w:rsidRPr="00A12137">
        <w:rPr>
          <w:rFonts w:ascii="Times New Roman" w:hAnsi="Times New Roman" w:cs="Times New Roman"/>
          <w:color w:val="000000" w:themeColor="text1"/>
        </w:rPr>
        <w:t xml:space="preserve"> </w:t>
      </w:r>
      <w:r w:rsidRPr="00A12137">
        <w:rPr>
          <w:rFonts w:ascii="Times New Roman" w:hAnsi="Times New Roman" w:cs="Times New Roman"/>
          <w:color w:val="000000" w:themeColor="text1"/>
        </w:rPr>
        <w:t xml:space="preserve">TSMC’s estimates state that the worldwide semiconductor market has reached 611 billion USD in revenues in 2025, this is approximately a 19 percent increase from the previous year. Out of this global market, the size of the company’s reachable market is estimated to be 305 billion USD, which is 16% increase from the previous period (TSMC, 2025). </w:t>
      </w:r>
      <w:r w:rsidR="00133CF6" w:rsidRPr="00A12137">
        <w:rPr>
          <w:rFonts w:ascii="Times New Roman" w:hAnsi="Times New Roman" w:cs="Times New Roman"/>
        </w:rPr>
        <w:t xml:space="preserve">This strategic importance of TSMC makes the whole industry for semiconductors vulnerable to any </w:t>
      </w:r>
      <w:r w:rsidR="00A17F01" w:rsidRPr="00A12137">
        <w:rPr>
          <w:rFonts w:ascii="Times New Roman" w:hAnsi="Times New Roman" w:cs="Times New Roman"/>
        </w:rPr>
        <w:t xml:space="preserve">disruptions or issues that the company faces. In other words, a negative shock affecting TSMC will have a major effect on the whole market </w:t>
      </w:r>
      <w:r w:rsidR="00A17F01" w:rsidRPr="00A12137">
        <w:rPr>
          <w:rFonts w:ascii="Times New Roman" w:hAnsi="Times New Roman" w:cs="Times New Roman"/>
        </w:rPr>
        <w:t>(Liu et al., 2025).</w:t>
      </w:r>
    </w:p>
    <w:p w14:paraId="5FF3ECC9" w14:textId="2F876259" w:rsidR="004D52DA" w:rsidRPr="00A12137" w:rsidRDefault="008D6A6F" w:rsidP="0085188C">
      <w:pPr>
        <w:spacing w:line="360" w:lineRule="auto"/>
        <w:ind w:firstLine="198"/>
        <w:jc w:val="both"/>
        <w:rPr>
          <w:rFonts w:ascii="Times New Roman" w:hAnsi="Times New Roman" w:cs="Times New Roman"/>
        </w:rPr>
      </w:pPr>
      <w:r w:rsidRPr="00A12137">
        <w:rPr>
          <w:rFonts w:ascii="Times New Roman" w:hAnsi="Times New Roman" w:cs="Times New Roman"/>
        </w:rPr>
        <w:t xml:space="preserve">At the same time, the industry for semiconductors slowly became more vulnerable to changes in energy prices and inflation fluctuations. The manufacturing of these strategic goods </w:t>
      </w:r>
      <w:r w:rsidR="004D52DA" w:rsidRPr="00A12137">
        <w:rPr>
          <w:rFonts w:ascii="Times New Roman" w:hAnsi="Times New Roman" w:cs="Times New Roman"/>
        </w:rPr>
        <w:t>requires</w:t>
      </w:r>
      <w:r w:rsidRPr="00A12137">
        <w:rPr>
          <w:rFonts w:ascii="Times New Roman" w:hAnsi="Times New Roman" w:cs="Times New Roman"/>
        </w:rPr>
        <w:t xml:space="preserve"> stable access to electricity, natural gas, water and highly </w:t>
      </w:r>
      <w:r w:rsidR="004D52DA" w:rsidRPr="00A12137">
        <w:rPr>
          <w:rFonts w:ascii="Times New Roman" w:hAnsi="Times New Roman" w:cs="Times New Roman"/>
        </w:rPr>
        <w:t xml:space="preserve">specialized materials. Therefore, even small changes in energy prices or inflationary pressures can cause increased operational costs, which in turn affects TSMC’s profitability </w:t>
      </w:r>
      <w:r w:rsidR="004D52DA" w:rsidRPr="00A12137">
        <w:rPr>
          <w:rFonts w:ascii="Times New Roman" w:hAnsi="Times New Roman" w:cs="Times New Roman"/>
        </w:rPr>
        <w:lastRenderedPageBreak/>
        <w:t xml:space="preserve">directly </w:t>
      </w:r>
      <w:r w:rsidR="004D52DA" w:rsidRPr="00A12137">
        <w:rPr>
          <w:rFonts w:ascii="Times New Roman" w:hAnsi="Times New Roman" w:cs="Times New Roman"/>
        </w:rPr>
        <w:t>(Wang et al., 2023).</w:t>
      </w:r>
      <w:r w:rsidR="004D52DA" w:rsidRPr="00A12137">
        <w:rPr>
          <w:rFonts w:ascii="Times New Roman" w:hAnsi="Times New Roman" w:cs="Times New Roman"/>
        </w:rPr>
        <w:t xml:space="preserve"> Moreover, the continuous advances in the field of AI technologies creates further pressure on TSMC to invest in new manufacturing plants, this increases the company’s financial needs, therefore it makes borrowing cost go up as well </w:t>
      </w:r>
      <w:r w:rsidR="004D52DA" w:rsidRPr="00A12137">
        <w:rPr>
          <w:rFonts w:ascii="Times New Roman" w:hAnsi="Times New Roman" w:cs="Times New Roman"/>
        </w:rPr>
        <w:t>(TSMC, 2025).</w:t>
      </w:r>
    </w:p>
    <w:p w14:paraId="06224D9C" w14:textId="1B1BDA1C" w:rsidR="00FA5D2E" w:rsidRPr="00A12137" w:rsidRDefault="004D52DA" w:rsidP="0085188C">
      <w:pPr>
        <w:spacing w:line="360" w:lineRule="auto"/>
        <w:ind w:firstLine="198"/>
        <w:jc w:val="both"/>
        <w:rPr>
          <w:rFonts w:ascii="Times New Roman" w:hAnsi="Times New Roman" w:cs="Times New Roman"/>
        </w:rPr>
      </w:pPr>
      <w:r w:rsidRPr="00A12137">
        <w:rPr>
          <w:rFonts w:ascii="Times New Roman" w:hAnsi="Times New Roman" w:cs="Times New Roman"/>
        </w:rPr>
        <w:t xml:space="preserve">Interest rate risk was traditionally not as </w:t>
      </w:r>
      <w:r w:rsidR="00B954A1" w:rsidRPr="00A12137">
        <w:rPr>
          <w:rFonts w:ascii="Times New Roman" w:hAnsi="Times New Roman" w:cs="Times New Roman"/>
        </w:rPr>
        <w:t xml:space="preserve">important since the 2010s had relatively low interest rates. However, in recent years, central banks increased rates more suddenly and sharply in response to several global disruptions and crises, such as the COVID-19 pandemic or the Ukraine war. Higher interest rates affect financing costs, since the cost of borrowing goes up, this has a major effect on firms such as TSMC </w:t>
      </w:r>
      <w:r w:rsidR="00B954A1" w:rsidRPr="00A12137">
        <w:rPr>
          <w:rFonts w:ascii="Times New Roman" w:hAnsi="Times New Roman" w:cs="Times New Roman"/>
        </w:rPr>
        <w:t>(Alvarez et al., 2001).</w:t>
      </w:r>
      <w:r w:rsidR="00FA5D2E" w:rsidRPr="00A12137">
        <w:rPr>
          <w:rFonts w:ascii="Times New Roman" w:hAnsi="Times New Roman" w:cs="Times New Roman"/>
        </w:rPr>
        <w:t xml:space="preserve"> Another important risk that TSMC faces is exchange rate risk. This is because most of TSMC’s revenues come in the form of US dollars, while most of its operational costs are still in New Taiwanese Dollars (NTD). Fluctuations in currency markets therefore influences TSMC’s export competitiveness and profitability </w:t>
      </w:r>
      <w:r w:rsidR="00FA5D2E" w:rsidRPr="00A12137">
        <w:rPr>
          <w:rFonts w:ascii="Times New Roman" w:hAnsi="Times New Roman" w:cs="Times New Roman"/>
        </w:rPr>
        <w:t>(TSMC, 2026).</w:t>
      </w:r>
    </w:p>
    <w:p w14:paraId="4A690762" w14:textId="391C1A1B" w:rsidR="00B954A1" w:rsidRPr="00A12137" w:rsidRDefault="00B954A1" w:rsidP="0085188C">
      <w:pPr>
        <w:spacing w:line="360" w:lineRule="auto"/>
        <w:ind w:firstLine="198"/>
        <w:jc w:val="both"/>
        <w:rPr>
          <w:rFonts w:ascii="Times New Roman" w:hAnsi="Times New Roman" w:cs="Times New Roman"/>
        </w:rPr>
      </w:pPr>
      <w:r w:rsidRPr="00A12137">
        <w:rPr>
          <w:rFonts w:ascii="Times New Roman" w:hAnsi="Times New Roman" w:cs="Times New Roman"/>
          <w:color w:val="000000" w:themeColor="text1"/>
        </w:rPr>
        <w:t>To summarize, for the company to fully take advantage of its economic position, it has to hedge against these many different financial and strategic risks. Therefore, this analysis of the financial instruments employed by TSMC aims to highlight the various forms of hedging techniques it already employs, with a special focus on geopolitical risk, interest rate risk, exchange rate risk and inflation risk. Furthermore, the paper combines understanding the theory behind these financial risks and a practical overview of the financial processes of TSMC.</w:t>
      </w:r>
    </w:p>
    <w:p w14:paraId="369EC9A0" w14:textId="77777777" w:rsidR="006B1186" w:rsidRPr="00A12137" w:rsidRDefault="006B1186" w:rsidP="004058C1">
      <w:pPr>
        <w:jc w:val="both"/>
        <w:rPr>
          <w:rFonts w:ascii="Times New Roman" w:hAnsi="Times New Roman" w:cs="Times New Roman"/>
        </w:rPr>
      </w:pPr>
    </w:p>
    <w:p w14:paraId="02B33062" w14:textId="77777777" w:rsidR="006B1186" w:rsidRPr="00A12137" w:rsidRDefault="006B1186" w:rsidP="004058C1">
      <w:pPr>
        <w:jc w:val="both"/>
        <w:rPr>
          <w:rFonts w:ascii="Times New Roman" w:hAnsi="Times New Roman" w:cs="Times New Roman"/>
          <w:color w:val="000000" w:themeColor="text1"/>
        </w:rPr>
      </w:pPr>
    </w:p>
    <w:p w14:paraId="59DFE181" w14:textId="10150540" w:rsidR="00A17F01" w:rsidRPr="00A12137" w:rsidRDefault="00A17F01" w:rsidP="004058C1">
      <w:pPr>
        <w:jc w:val="both"/>
        <w:rPr>
          <w:rFonts w:ascii="Times New Roman" w:hAnsi="Times New Roman" w:cs="Times New Roman"/>
          <w:color w:val="000000" w:themeColor="text1"/>
        </w:rPr>
      </w:pPr>
    </w:p>
    <w:p w14:paraId="239D514B" w14:textId="77777777" w:rsidR="003428B6" w:rsidRPr="00A12137" w:rsidRDefault="003428B6" w:rsidP="004058C1">
      <w:pPr>
        <w:jc w:val="both"/>
        <w:rPr>
          <w:rFonts w:ascii="Times New Roman" w:hAnsi="Times New Roman" w:cs="Times New Roman"/>
          <w:color w:val="000000" w:themeColor="text1"/>
        </w:rPr>
      </w:pPr>
    </w:p>
    <w:p w14:paraId="0D9533CF" w14:textId="77777777" w:rsidR="003428B6" w:rsidRPr="00A12137" w:rsidRDefault="003428B6" w:rsidP="004058C1">
      <w:pPr>
        <w:jc w:val="both"/>
        <w:rPr>
          <w:rFonts w:ascii="Times New Roman" w:hAnsi="Times New Roman" w:cs="Times New Roman"/>
          <w:color w:val="000000" w:themeColor="text1"/>
        </w:rPr>
      </w:pPr>
    </w:p>
    <w:p w14:paraId="764C5E5F" w14:textId="77777777" w:rsidR="003428B6" w:rsidRPr="00A12137" w:rsidRDefault="003428B6" w:rsidP="004058C1">
      <w:pPr>
        <w:jc w:val="both"/>
        <w:rPr>
          <w:rFonts w:ascii="Times New Roman" w:hAnsi="Times New Roman" w:cs="Times New Roman"/>
          <w:color w:val="000000" w:themeColor="text1"/>
        </w:rPr>
      </w:pPr>
    </w:p>
    <w:p w14:paraId="4E3D986C" w14:textId="514A6CCE" w:rsidR="00E82F40" w:rsidRPr="00A12137" w:rsidRDefault="00E82F40" w:rsidP="006B1186">
      <w:pPr>
        <w:rPr>
          <w:rFonts w:ascii="Times New Roman" w:hAnsi="Times New Roman" w:cs="Times New Roman"/>
          <w:color w:val="000000" w:themeColor="text1"/>
        </w:rPr>
      </w:pPr>
    </w:p>
    <w:p w14:paraId="2384E204" w14:textId="77777777" w:rsidR="006B1186" w:rsidRPr="00A12137" w:rsidRDefault="006B1186" w:rsidP="1CA46CE4">
      <w:pPr>
        <w:jc w:val="both"/>
        <w:rPr>
          <w:rFonts w:ascii="Times New Roman" w:hAnsi="Times New Roman" w:cs="Times New Roman"/>
          <w:color w:val="000000" w:themeColor="text1"/>
        </w:rPr>
      </w:pPr>
    </w:p>
    <w:p w14:paraId="5C8327C4" w14:textId="70029208" w:rsidR="00E82F40" w:rsidRPr="00A12137" w:rsidRDefault="00E82F40" w:rsidP="004058C1">
      <w:pPr>
        <w:jc w:val="both"/>
        <w:rPr>
          <w:rFonts w:ascii="Times New Roman" w:hAnsi="Times New Roman" w:cs="Times New Roman"/>
          <w:color w:val="000000" w:themeColor="text1"/>
          <w:lang w:val="en-GB"/>
        </w:rPr>
      </w:pPr>
    </w:p>
    <w:p w14:paraId="4E45F218" w14:textId="062C876E" w:rsidR="004058C1" w:rsidRPr="00A12137" w:rsidRDefault="004058C1" w:rsidP="1CA46CE4">
      <w:pPr>
        <w:rPr>
          <w:rFonts w:ascii="Times New Roman" w:hAnsi="Times New Roman" w:cs="Times New Roman"/>
        </w:rPr>
      </w:pPr>
      <w:r w:rsidRPr="00A12137">
        <w:rPr>
          <w:rFonts w:ascii="Times New Roman" w:hAnsi="Times New Roman" w:cs="Times New Roman"/>
        </w:rPr>
        <w:br w:type="page"/>
      </w:r>
    </w:p>
    <w:p w14:paraId="5E537A3E" w14:textId="28A4BF76" w:rsidR="004058C1" w:rsidRPr="00163BB5" w:rsidRDefault="004058C1" w:rsidP="00E62E71">
      <w:pPr>
        <w:pStyle w:val="Heading1"/>
        <w:spacing w:line="360" w:lineRule="auto"/>
        <w:jc w:val="both"/>
        <w:rPr>
          <w:rFonts w:ascii="Times New Roman" w:hAnsi="Times New Roman" w:cs="Times New Roman"/>
        </w:rPr>
      </w:pPr>
      <w:bookmarkStart w:id="1" w:name="_Toc230603263"/>
      <w:r w:rsidRPr="00163BB5">
        <w:rPr>
          <w:rFonts w:ascii="Times New Roman" w:hAnsi="Times New Roman" w:cs="Times New Roman"/>
        </w:rPr>
        <w:lastRenderedPageBreak/>
        <w:t>2.</w:t>
      </w:r>
      <w:r w:rsidR="5B36D471" w:rsidRPr="00163BB5">
        <w:rPr>
          <w:rFonts w:ascii="Times New Roman" w:hAnsi="Times New Roman" w:cs="Times New Roman"/>
        </w:rPr>
        <w:t xml:space="preserve"> </w:t>
      </w:r>
      <w:r w:rsidR="69E9FD91" w:rsidRPr="00163BB5">
        <w:rPr>
          <w:rFonts w:ascii="Times New Roman" w:hAnsi="Times New Roman" w:cs="Times New Roman"/>
        </w:rPr>
        <w:t>Theoretical Framework</w:t>
      </w:r>
      <w:bookmarkEnd w:id="1"/>
      <w:r w:rsidRPr="00163BB5">
        <w:rPr>
          <w:rFonts w:ascii="Times New Roman" w:hAnsi="Times New Roman" w:cs="Times New Roman"/>
        </w:rPr>
        <w:t xml:space="preserve"> </w:t>
      </w:r>
    </w:p>
    <w:p w14:paraId="6FFAF0BD" w14:textId="003B785F" w:rsidR="008D6EAF" w:rsidRPr="00163BB5" w:rsidRDefault="00FA5D2E" w:rsidP="00E62E71">
      <w:pPr>
        <w:pStyle w:val="Heading2"/>
        <w:spacing w:line="360" w:lineRule="auto"/>
        <w:jc w:val="both"/>
        <w:rPr>
          <w:rFonts w:ascii="Times New Roman" w:hAnsi="Times New Roman" w:cs="Times New Roman"/>
        </w:rPr>
      </w:pPr>
      <w:bookmarkStart w:id="2" w:name="_Toc230603264"/>
      <w:r w:rsidRPr="00163BB5">
        <w:rPr>
          <w:rFonts w:ascii="Times New Roman" w:hAnsi="Times New Roman" w:cs="Times New Roman"/>
        </w:rPr>
        <w:t>2.1. Financial risks and Corporate Hedging</w:t>
      </w:r>
      <w:bookmarkEnd w:id="2"/>
    </w:p>
    <w:p w14:paraId="0D38D554" w14:textId="4D1FE1F9" w:rsidR="00A76678" w:rsidRPr="00163BB5" w:rsidRDefault="008D6EAF" w:rsidP="00E62E71">
      <w:pPr>
        <w:spacing w:line="360" w:lineRule="auto"/>
        <w:ind w:firstLine="198"/>
        <w:jc w:val="both"/>
        <w:rPr>
          <w:rFonts w:ascii="Times New Roman" w:hAnsi="Times New Roman" w:cs="Times New Roman"/>
        </w:rPr>
      </w:pPr>
      <w:r w:rsidRPr="00163BB5">
        <w:rPr>
          <w:rFonts w:ascii="Times New Roman" w:hAnsi="Times New Roman" w:cs="Times New Roman"/>
          <w:color w:val="000000" w:themeColor="text1"/>
        </w:rPr>
        <w:t>Financial markets can influence a company’s cash flows, firm valuation and profitability in general, this type of risk that economic agents face is called financial risk. There are several forms of financial risks such as interest rate risk, exchange rate risk, inflation risk or commodity price risk. Multinational corporations such as TSMC are influenced by many types of financial risks including the above-mentioned ones. These risks can negatively affect firm’s earnings and investment stability</w:t>
      </w:r>
      <w:r w:rsidR="00A76678" w:rsidRPr="00163BB5">
        <w:rPr>
          <w:rFonts w:ascii="Times New Roman" w:hAnsi="Times New Roman" w:cs="Times New Roman"/>
          <w:color w:val="000000" w:themeColor="text1"/>
        </w:rPr>
        <w:t>. In addition, they</w:t>
      </w:r>
      <w:r w:rsidRPr="00163BB5">
        <w:rPr>
          <w:rFonts w:ascii="Times New Roman" w:hAnsi="Times New Roman" w:cs="Times New Roman"/>
          <w:color w:val="000000" w:themeColor="text1"/>
        </w:rPr>
        <w:t xml:space="preserve"> can create</w:t>
      </w:r>
      <w:r w:rsidR="00A76678" w:rsidRPr="00163BB5">
        <w:rPr>
          <w:rFonts w:ascii="Times New Roman" w:hAnsi="Times New Roman" w:cs="Times New Roman"/>
          <w:color w:val="000000" w:themeColor="text1"/>
        </w:rPr>
        <w:t xml:space="preserve"> increased</w:t>
      </w:r>
      <w:r w:rsidRPr="00163BB5">
        <w:rPr>
          <w:rFonts w:ascii="Times New Roman" w:hAnsi="Times New Roman" w:cs="Times New Roman"/>
          <w:color w:val="000000" w:themeColor="text1"/>
        </w:rPr>
        <w:t xml:space="preserve"> </w:t>
      </w:r>
      <w:r w:rsidR="00A76678" w:rsidRPr="00163BB5">
        <w:rPr>
          <w:rFonts w:ascii="Times New Roman" w:hAnsi="Times New Roman" w:cs="Times New Roman"/>
          <w:color w:val="000000" w:themeColor="text1"/>
        </w:rPr>
        <w:t>volatility</w:t>
      </w:r>
      <w:r w:rsidRPr="00163BB5">
        <w:rPr>
          <w:rFonts w:ascii="Times New Roman" w:hAnsi="Times New Roman" w:cs="Times New Roman"/>
          <w:color w:val="000000" w:themeColor="text1"/>
        </w:rPr>
        <w:t xml:space="preserve"> for these </w:t>
      </w:r>
      <w:r w:rsidR="00A76678" w:rsidRPr="00163BB5">
        <w:rPr>
          <w:rFonts w:ascii="Times New Roman" w:hAnsi="Times New Roman" w:cs="Times New Roman"/>
          <w:color w:val="000000" w:themeColor="text1"/>
        </w:rPr>
        <w:t xml:space="preserve">companies. In order to mitigate these risks, most companies use several hedging techniques and strategies to decrease this uncertainty </w:t>
      </w:r>
      <w:r w:rsidR="00A76678" w:rsidRPr="00163BB5">
        <w:rPr>
          <w:rFonts w:ascii="Times New Roman" w:hAnsi="Times New Roman" w:cs="Times New Roman"/>
        </w:rPr>
        <w:t>(Smith &amp; Stulz, 1985).</w:t>
      </w:r>
    </w:p>
    <w:p w14:paraId="016E4E27" w14:textId="1E29EB0E" w:rsidR="0096086C" w:rsidRPr="00163BB5" w:rsidRDefault="00A76678" w:rsidP="00E62E71">
      <w:pPr>
        <w:spacing w:line="360" w:lineRule="auto"/>
        <w:ind w:firstLine="198"/>
        <w:jc w:val="both"/>
        <w:rPr>
          <w:rFonts w:ascii="Times New Roman" w:hAnsi="Times New Roman" w:cs="Times New Roman"/>
        </w:rPr>
      </w:pPr>
      <w:r w:rsidRPr="00163BB5">
        <w:rPr>
          <w:rFonts w:ascii="Times New Roman" w:hAnsi="Times New Roman" w:cs="Times New Roman"/>
          <w:color w:val="000000" w:themeColor="text1"/>
        </w:rPr>
        <w:t xml:space="preserve">Specifically, firms use hedging tools to reduce expected operational costs that are associated with taxes, the lack of investments and financial disruptions. Hedging stabilizes company cash flows, this makes future earnings more predictable and can increase the overall economic value of the firm </w:t>
      </w:r>
      <w:r w:rsidRPr="00163BB5">
        <w:rPr>
          <w:rFonts w:ascii="Times New Roman" w:hAnsi="Times New Roman" w:cs="Times New Roman"/>
        </w:rPr>
        <w:t>(Smith &amp; Stulz, 1985).</w:t>
      </w:r>
      <w:r w:rsidRPr="00163BB5">
        <w:rPr>
          <w:rFonts w:ascii="Times New Roman" w:hAnsi="Times New Roman" w:cs="Times New Roman"/>
        </w:rPr>
        <w:t xml:space="preserve"> </w:t>
      </w:r>
      <w:r w:rsidR="0096086C" w:rsidRPr="00163BB5">
        <w:rPr>
          <w:rFonts w:ascii="Times New Roman" w:hAnsi="Times New Roman" w:cs="Times New Roman"/>
        </w:rPr>
        <w:t>Multinational companies and leading market players are more likely to use more hedging tools, since they face larger uncertainty around financial risks and they have higher growth opportunities. Implementing several hedging strategies can be a way to improve long-term investment planning (Nance et al., 1993). These strategies are especially important to consider for firms operating in the semiconductor manufacturing industry, since manufacturing these goods require high levels of long-term borrowing commitments and capital expenditure (</w:t>
      </w:r>
      <w:r w:rsidR="0096086C" w:rsidRPr="00163BB5">
        <w:rPr>
          <w:rFonts w:ascii="Times New Roman" w:hAnsi="Times New Roman" w:cs="Times New Roman"/>
        </w:rPr>
        <w:t>TSMC, 2026).</w:t>
      </w:r>
    </w:p>
    <w:p w14:paraId="1217B8D2" w14:textId="1AEC7169" w:rsidR="00A36B13" w:rsidRPr="00E62E71" w:rsidRDefault="0096086C" w:rsidP="00E62E71">
      <w:pPr>
        <w:spacing w:line="360" w:lineRule="auto"/>
        <w:ind w:firstLine="198"/>
        <w:jc w:val="both"/>
        <w:rPr>
          <w:rFonts w:ascii="Times New Roman" w:hAnsi="Times New Roman" w:cs="Times New Roman"/>
        </w:rPr>
      </w:pPr>
      <w:r w:rsidRPr="00163BB5">
        <w:rPr>
          <w:rFonts w:ascii="Times New Roman" w:hAnsi="Times New Roman" w:cs="Times New Roman"/>
        </w:rPr>
        <w:t>Furthermore,</w:t>
      </w:r>
      <w:r w:rsidR="00CA476F" w:rsidRPr="00163BB5">
        <w:rPr>
          <w:rFonts w:ascii="Times New Roman" w:hAnsi="Times New Roman" w:cs="Times New Roman"/>
        </w:rPr>
        <w:t xml:space="preserve"> there are several specific hedging tools that are used in industries such as chip manufacturing. Firstly, when a company buys long-term energy contracts and other financial instruments to reduce exposure to price fluctuations</w:t>
      </w:r>
      <w:r w:rsidR="00DC12F1" w:rsidRPr="00163BB5">
        <w:rPr>
          <w:rFonts w:ascii="Times New Roman" w:hAnsi="Times New Roman" w:cs="Times New Roman"/>
        </w:rPr>
        <w:t xml:space="preserve"> and geopolitical disruptions</w:t>
      </w:r>
      <w:r w:rsidR="00CA476F" w:rsidRPr="00163BB5">
        <w:rPr>
          <w:rFonts w:ascii="Times New Roman" w:hAnsi="Times New Roman" w:cs="Times New Roman"/>
        </w:rPr>
        <w:t xml:space="preserve"> is called financial hedging</w:t>
      </w:r>
      <w:r w:rsidR="00DC12F1" w:rsidRPr="00163BB5">
        <w:rPr>
          <w:rFonts w:ascii="Times New Roman" w:hAnsi="Times New Roman" w:cs="Times New Roman"/>
        </w:rPr>
        <w:t xml:space="preserve">. A different form of hedging is the concept called operational hedging, which is when firms engage in several forms of diversification of production and suppliers or when a company secures its access to strategic goods that are critical for its production processes </w:t>
      </w:r>
      <w:r w:rsidR="00DC12F1" w:rsidRPr="00163BB5">
        <w:rPr>
          <w:rFonts w:ascii="Times New Roman" w:hAnsi="Times New Roman" w:cs="Times New Roman"/>
        </w:rPr>
        <w:t>(Ivanov &amp; Dolgui, 2020; Liu et al., 2025).</w:t>
      </w:r>
    </w:p>
    <w:p w14:paraId="461307DD" w14:textId="17256DF0" w:rsidR="00DC5A6C" w:rsidRPr="00163BB5" w:rsidRDefault="00DC12F1" w:rsidP="00E62E71">
      <w:pPr>
        <w:spacing w:line="360" w:lineRule="auto"/>
        <w:ind w:firstLine="198"/>
        <w:jc w:val="both"/>
        <w:rPr>
          <w:rFonts w:ascii="Times New Roman" w:hAnsi="Times New Roman" w:cs="Times New Roman"/>
        </w:rPr>
      </w:pPr>
      <w:r w:rsidRPr="00163BB5">
        <w:rPr>
          <w:rFonts w:ascii="Times New Roman" w:hAnsi="Times New Roman" w:cs="Times New Roman"/>
          <w:color w:val="000000" w:themeColor="text1"/>
        </w:rPr>
        <w:t>In addition to implementing hedging strategies such as the ones mentioned above, companies combine these with policy-oriented measures. This essentially means that they cooperate with governments, lobby for subsidies</w:t>
      </w:r>
      <w:r w:rsidR="00DC5A6C" w:rsidRPr="00163BB5">
        <w:rPr>
          <w:rFonts w:ascii="Times New Roman" w:hAnsi="Times New Roman" w:cs="Times New Roman"/>
          <w:color w:val="000000" w:themeColor="text1"/>
        </w:rPr>
        <w:t xml:space="preserve"> and invest in long-term investments in differing countries to reduce their dependence on a particular country, where they operate primarily. The CHIPS Act in the USA in 2022 is a good example of this, where a country in this case the United States decided that it wants to have more of its semiconductors made domestically and TSMC was influenced by this policy measure, so it shifted some of manufacturing processes to the US </w:t>
      </w:r>
      <w:r w:rsidR="00DC5A6C" w:rsidRPr="00163BB5">
        <w:rPr>
          <w:rFonts w:ascii="Times New Roman" w:hAnsi="Times New Roman" w:cs="Times New Roman"/>
        </w:rPr>
        <w:t>(Hyatt et al., 2024).</w:t>
      </w:r>
    </w:p>
    <w:p w14:paraId="588F76A8" w14:textId="567E34D5" w:rsidR="1CA46CE4" w:rsidRPr="00163BB5" w:rsidRDefault="00DC5A6C" w:rsidP="00E62E71">
      <w:pPr>
        <w:spacing w:line="360" w:lineRule="auto"/>
        <w:ind w:firstLine="198"/>
        <w:jc w:val="both"/>
        <w:rPr>
          <w:rFonts w:ascii="Times New Roman" w:hAnsi="Times New Roman" w:cs="Times New Roman"/>
          <w:color w:val="000000" w:themeColor="text1"/>
        </w:rPr>
      </w:pPr>
      <w:r w:rsidRPr="00163BB5">
        <w:rPr>
          <w:rFonts w:ascii="Times New Roman" w:hAnsi="Times New Roman" w:cs="Times New Roman"/>
          <w:color w:val="000000" w:themeColor="text1"/>
        </w:rPr>
        <w:t>A combination of the strategies mentioned</w:t>
      </w:r>
      <w:r w:rsidRPr="00163BB5">
        <w:rPr>
          <w:rFonts w:ascii="Times New Roman" w:hAnsi="Times New Roman" w:cs="Times New Roman"/>
          <w:color w:val="000000" w:themeColor="text1"/>
        </w:rPr>
        <w:t xml:space="preserve"> above contributes</w:t>
      </w:r>
      <w:r w:rsidRPr="00163BB5">
        <w:rPr>
          <w:rFonts w:ascii="Times New Roman" w:hAnsi="Times New Roman" w:cs="Times New Roman"/>
          <w:color w:val="000000" w:themeColor="text1"/>
        </w:rPr>
        <w:t xml:space="preserve"> </w:t>
      </w:r>
      <w:r w:rsidRPr="00163BB5">
        <w:rPr>
          <w:rFonts w:ascii="Times New Roman" w:hAnsi="Times New Roman" w:cs="Times New Roman"/>
          <w:color w:val="000000" w:themeColor="text1"/>
        </w:rPr>
        <w:t xml:space="preserve">to </w:t>
      </w:r>
      <w:r w:rsidRPr="00163BB5">
        <w:rPr>
          <w:rFonts w:ascii="Times New Roman" w:hAnsi="Times New Roman" w:cs="Times New Roman"/>
          <w:color w:val="000000" w:themeColor="text1"/>
        </w:rPr>
        <w:t xml:space="preserve">supply chain resilience, cost stability and production </w:t>
      </w:r>
      <w:r w:rsidRPr="00163BB5">
        <w:rPr>
          <w:rFonts w:ascii="Times New Roman" w:hAnsi="Times New Roman" w:cs="Times New Roman"/>
          <w:color w:val="000000" w:themeColor="text1"/>
        </w:rPr>
        <w:t>continuity. Firms use various tools to reduce financial risks, such as  financial and operational hedging, and policy related financial tools</w:t>
      </w:r>
      <w:r w:rsidR="005C2D44" w:rsidRPr="00163BB5">
        <w:rPr>
          <w:rFonts w:ascii="Times New Roman" w:hAnsi="Times New Roman" w:cs="Times New Roman"/>
          <w:color w:val="000000" w:themeColor="text1"/>
        </w:rPr>
        <w:t xml:space="preserve">. Decisions about using these tools have to be made carefully to </w:t>
      </w:r>
      <w:r w:rsidR="005C2D44" w:rsidRPr="00163BB5">
        <w:rPr>
          <w:rFonts w:ascii="Times New Roman" w:hAnsi="Times New Roman" w:cs="Times New Roman"/>
          <w:color w:val="000000" w:themeColor="text1"/>
        </w:rPr>
        <w:lastRenderedPageBreak/>
        <w:t>match the costs associated with implementing the particular strategy and the added benefits it brings to the company</w:t>
      </w:r>
      <w:r w:rsidRPr="00163BB5">
        <w:rPr>
          <w:rFonts w:ascii="Times New Roman" w:hAnsi="Times New Roman" w:cs="Times New Roman"/>
          <w:color w:val="000000" w:themeColor="text1"/>
        </w:rPr>
        <w:t xml:space="preserve"> (Liu et al., 2025)</w:t>
      </w:r>
      <w:r w:rsidRPr="00163BB5">
        <w:rPr>
          <w:rFonts w:ascii="Times New Roman" w:hAnsi="Times New Roman" w:cs="Times New Roman"/>
          <w:color w:val="000000" w:themeColor="text1"/>
        </w:rPr>
        <w:t>.</w:t>
      </w:r>
    </w:p>
    <w:p w14:paraId="33C6305F" w14:textId="795F1FD1" w:rsidR="00654AEE" w:rsidRPr="00530B53" w:rsidRDefault="7041723B" w:rsidP="00530B53">
      <w:pPr>
        <w:pStyle w:val="Heading2"/>
        <w:spacing w:line="360" w:lineRule="auto"/>
        <w:jc w:val="both"/>
        <w:rPr>
          <w:rFonts w:ascii="Times New Roman" w:hAnsi="Times New Roman" w:cs="Times New Roman"/>
          <w:color w:val="000000" w:themeColor="text1"/>
        </w:rPr>
      </w:pPr>
      <w:bookmarkStart w:id="3" w:name="_Toc230603265"/>
      <w:r w:rsidRPr="00163BB5">
        <w:rPr>
          <w:rFonts w:ascii="Times New Roman" w:hAnsi="Times New Roman" w:cs="Times New Roman"/>
        </w:rPr>
        <w:t>2.</w:t>
      </w:r>
      <w:r w:rsidR="00FA5D2E" w:rsidRPr="00163BB5">
        <w:rPr>
          <w:rFonts w:ascii="Times New Roman" w:hAnsi="Times New Roman" w:cs="Times New Roman"/>
        </w:rPr>
        <w:t>2</w:t>
      </w:r>
      <w:r w:rsidRPr="00163BB5">
        <w:rPr>
          <w:rFonts w:ascii="Times New Roman" w:hAnsi="Times New Roman" w:cs="Times New Roman"/>
        </w:rPr>
        <w:t>. Interest rate risk</w:t>
      </w:r>
      <w:bookmarkEnd w:id="3"/>
    </w:p>
    <w:p w14:paraId="015243C1" w14:textId="691E6619" w:rsidR="00654AEE" w:rsidRPr="00163BB5" w:rsidRDefault="7041723B" w:rsidP="00AE0ED7">
      <w:pPr>
        <w:spacing w:line="360" w:lineRule="auto"/>
        <w:ind w:firstLine="198"/>
        <w:jc w:val="both"/>
        <w:rPr>
          <w:rFonts w:ascii="Times New Roman" w:eastAsia="Aptos" w:hAnsi="Times New Roman" w:cs="Times New Roman"/>
          <w:color w:val="000000" w:themeColor="text1"/>
          <w:lang w:val="en-GB"/>
        </w:rPr>
      </w:pPr>
      <w:r w:rsidRPr="00163BB5">
        <w:rPr>
          <w:rFonts w:ascii="Times New Roman" w:eastAsia="Aptos" w:hAnsi="Times New Roman" w:cs="Times New Roman"/>
          <w:color w:val="000000" w:themeColor="text1"/>
          <w:lang w:val="en-GB"/>
        </w:rPr>
        <w:t xml:space="preserve">Interest rate risk is the risk that is associated with the possible value fluctuations of investments or financial obligations due to changes in market interest rates.  Interest rate risk theory predicts that this risk can affect economic performance and the value of financial assets. Interest rates influence bond prices, loan costs, company profits and exchange rates </w:t>
      </w:r>
      <w:r w:rsidR="00654AEE" w:rsidRPr="00163BB5">
        <w:rPr>
          <w:rFonts w:ascii="Times New Roman" w:hAnsi="Times New Roman" w:cs="Times New Roman"/>
        </w:rPr>
        <w:t>(Alvarez et al., 2001).</w:t>
      </w:r>
      <w:r w:rsidR="00654AEE" w:rsidRPr="00163BB5">
        <w:rPr>
          <w:rFonts w:ascii="Times New Roman" w:hAnsi="Times New Roman" w:cs="Times New Roman"/>
        </w:rPr>
        <w:t xml:space="preserve"> </w:t>
      </w:r>
      <w:r w:rsidRPr="00163BB5">
        <w:rPr>
          <w:rFonts w:ascii="Times New Roman" w:eastAsia="Aptos" w:hAnsi="Times New Roman" w:cs="Times New Roman"/>
          <w:color w:val="000000" w:themeColor="text1"/>
          <w:lang w:val="en-GB"/>
        </w:rPr>
        <w:t xml:space="preserve">In financial economics, there are many concepts that are connected to interest rate risk theory. </w:t>
      </w:r>
    </w:p>
    <w:p w14:paraId="45944CAA" w14:textId="2A95D5C7" w:rsidR="00F05444" w:rsidRPr="00163BB5" w:rsidRDefault="7041723B" w:rsidP="00AE0ED7">
      <w:pPr>
        <w:spacing w:line="360" w:lineRule="auto"/>
        <w:ind w:firstLine="198"/>
        <w:jc w:val="both"/>
        <w:rPr>
          <w:rFonts w:ascii="Times New Roman" w:hAnsi="Times New Roman" w:cs="Times New Roman"/>
        </w:rPr>
      </w:pPr>
      <w:r w:rsidRPr="00163BB5">
        <w:rPr>
          <w:rFonts w:ascii="Times New Roman" w:eastAsia="Aptos" w:hAnsi="Times New Roman" w:cs="Times New Roman"/>
          <w:color w:val="000000" w:themeColor="text1"/>
          <w:lang w:val="en-GB"/>
        </w:rPr>
        <w:t>Duration for example measures the sensitivity of a bond’s price to interest rate fluctuations, an increase in duration means an increase in the sensitivity of the bond. Another concept is convexity, which refers to the idea that interest rate changes do not correlate with bond prices in a linear way, in other words the same changes in interest rates do not translate to the same movements in bond prices entirely. Therefore, convexity predicts how much bond prices will change better than what duration alone would predict. Duration and convexity as tools are regularly used by financial risk managers</w:t>
      </w:r>
      <w:r w:rsidR="00654AEE" w:rsidRPr="00163BB5">
        <w:rPr>
          <w:rFonts w:ascii="Times New Roman" w:eastAsia="Aptos" w:hAnsi="Times New Roman" w:cs="Times New Roman"/>
          <w:color w:val="000000" w:themeColor="text1"/>
          <w:lang w:val="en-GB"/>
        </w:rPr>
        <w:t xml:space="preserve"> to calculate the effects of an interest rate change on financial assets and liabilities (</w:t>
      </w:r>
      <w:r w:rsidR="00B02D4B" w:rsidRPr="00163BB5">
        <w:rPr>
          <w:rFonts w:ascii="Times New Roman" w:hAnsi="Times New Roman" w:cs="Times New Roman"/>
        </w:rPr>
        <w:t>2.2</w:t>
      </w:r>
    </w:p>
    <w:p w14:paraId="20B6A517" w14:textId="4E39C0CA" w:rsidR="7041723B" w:rsidRPr="00AE0ED7" w:rsidRDefault="00F05444" w:rsidP="00AE0ED7">
      <w:pPr>
        <w:spacing w:line="360" w:lineRule="auto"/>
        <w:ind w:firstLine="198"/>
        <w:jc w:val="both"/>
        <w:rPr>
          <w:rFonts w:ascii="Times New Roman" w:eastAsia="Aptos" w:hAnsi="Times New Roman" w:cs="Times New Roman"/>
          <w:color w:val="000000" w:themeColor="text1"/>
          <w:lang w:val="en-GB"/>
        </w:rPr>
      </w:pPr>
      <w:r w:rsidRPr="00163BB5">
        <w:rPr>
          <w:rFonts w:ascii="Times New Roman" w:hAnsi="Times New Roman" w:cs="Times New Roman"/>
        </w:rPr>
        <w:t>The semiconductor industry is especially exposed to interest rate changes. This is because manufacturing these products requires extremely large capital expenditures. In other words, semiconductor manufacturing factories cost tens of billions of dollars to fund and maintain, therefore these companies need to borrow at a high rate to fund their operations (TSMC, 2026). Increased interest rates can increase borrowing costs and in turn this could reduce a firms future profitability.</w:t>
      </w:r>
    </w:p>
    <w:p w14:paraId="3FBA89B1" w14:textId="5F66A3D3" w:rsidR="7041723B" w:rsidRPr="00AE0ED7" w:rsidRDefault="7041723B" w:rsidP="00AE0ED7">
      <w:pPr>
        <w:spacing w:line="360" w:lineRule="auto"/>
        <w:ind w:firstLine="198"/>
        <w:jc w:val="both"/>
        <w:rPr>
          <w:rFonts w:ascii="Times New Roman" w:eastAsia="Aptos" w:hAnsi="Times New Roman" w:cs="Times New Roman"/>
          <w:color w:val="000000" w:themeColor="text1"/>
          <w:lang w:val="en-GB"/>
        </w:rPr>
      </w:pPr>
      <w:r w:rsidRPr="00163BB5">
        <w:rPr>
          <w:rFonts w:ascii="Times New Roman" w:eastAsia="Aptos" w:hAnsi="Times New Roman" w:cs="Times New Roman"/>
          <w:color w:val="000000" w:themeColor="text1"/>
          <w:lang w:val="en-GB"/>
        </w:rPr>
        <w:t xml:space="preserve">Interest rates also present other risks, which are liquidity and funding risks. The central bank sets interest rates and these rates determine borrowing costs for individuals, businesses, governments and </w:t>
      </w:r>
      <w:r w:rsidR="00E83CED" w:rsidRPr="00163BB5">
        <w:rPr>
          <w:rFonts w:ascii="Times New Roman" w:eastAsia="Aptos" w:hAnsi="Times New Roman" w:cs="Times New Roman"/>
          <w:color w:val="000000" w:themeColor="text1"/>
          <w:lang w:val="en-GB"/>
        </w:rPr>
        <w:t xml:space="preserve">other </w:t>
      </w:r>
      <w:r w:rsidRPr="00163BB5">
        <w:rPr>
          <w:rFonts w:ascii="Times New Roman" w:eastAsia="Aptos" w:hAnsi="Times New Roman" w:cs="Times New Roman"/>
          <w:color w:val="000000" w:themeColor="text1"/>
          <w:lang w:val="en-GB"/>
        </w:rPr>
        <w:t xml:space="preserve">banks. Potential interest rate hikes can increase borrowing costs and create problems with funding in an economy </w:t>
      </w:r>
      <w:r w:rsidR="00F05444" w:rsidRPr="00163BB5">
        <w:rPr>
          <w:rFonts w:ascii="Times New Roman" w:eastAsia="Aptos" w:hAnsi="Times New Roman" w:cs="Times New Roman"/>
          <w:color w:val="000000" w:themeColor="text1"/>
          <w:lang w:val="en-GB"/>
        </w:rPr>
        <w:t>(</w:t>
      </w:r>
      <w:r w:rsidR="00F05444" w:rsidRPr="00163BB5">
        <w:rPr>
          <w:rFonts w:ascii="Times New Roman" w:hAnsi="Times New Roman" w:cs="Times New Roman"/>
        </w:rPr>
        <w:t>Alvarez et al., 2001).</w:t>
      </w:r>
      <w:r w:rsidR="00F05444" w:rsidRPr="00163BB5">
        <w:rPr>
          <w:rFonts w:ascii="Times New Roman" w:eastAsia="Aptos" w:hAnsi="Times New Roman" w:cs="Times New Roman"/>
          <w:color w:val="000000" w:themeColor="text1"/>
          <w:lang w:val="en-GB"/>
        </w:rPr>
        <w:t xml:space="preserve"> </w:t>
      </w:r>
      <w:r w:rsidRPr="00163BB5">
        <w:rPr>
          <w:rFonts w:ascii="Times New Roman" w:eastAsia="Aptos" w:hAnsi="Times New Roman" w:cs="Times New Roman"/>
          <w:color w:val="000000" w:themeColor="text1"/>
          <w:lang w:val="en-GB"/>
        </w:rPr>
        <w:t xml:space="preserve">In addition, liquidity </w:t>
      </w:r>
      <w:r w:rsidR="00E83CED" w:rsidRPr="00163BB5">
        <w:rPr>
          <w:rFonts w:ascii="Times New Roman" w:eastAsia="Aptos" w:hAnsi="Times New Roman" w:cs="Times New Roman"/>
          <w:color w:val="000000" w:themeColor="text1"/>
          <w:lang w:val="en-GB"/>
        </w:rPr>
        <w:t xml:space="preserve">preference </w:t>
      </w:r>
      <w:r w:rsidRPr="00163BB5">
        <w:rPr>
          <w:rFonts w:ascii="Times New Roman" w:eastAsia="Aptos" w:hAnsi="Times New Roman" w:cs="Times New Roman"/>
          <w:color w:val="000000" w:themeColor="text1"/>
          <w:lang w:val="en-GB"/>
        </w:rPr>
        <w:t>theory</w:t>
      </w:r>
      <w:r w:rsidR="00E83CED" w:rsidRPr="00163BB5">
        <w:rPr>
          <w:rFonts w:ascii="Times New Roman" w:eastAsia="Aptos" w:hAnsi="Times New Roman" w:cs="Times New Roman"/>
          <w:color w:val="000000" w:themeColor="text1"/>
          <w:lang w:val="en-GB"/>
        </w:rPr>
        <w:t xml:space="preserve"> suggests that investors demand a premium for holding long-term assets, because of the risks associated with possible interest rate movement.</w:t>
      </w:r>
      <w:r w:rsidR="00F05444" w:rsidRPr="00163BB5">
        <w:rPr>
          <w:rFonts w:ascii="Times New Roman" w:eastAsia="Aptos" w:hAnsi="Times New Roman" w:cs="Times New Roman"/>
          <w:color w:val="000000" w:themeColor="text1"/>
          <w:lang w:val="en-GB"/>
        </w:rPr>
        <w:t xml:space="preserve"> T</w:t>
      </w:r>
      <w:r w:rsidR="00E83CED" w:rsidRPr="00163BB5">
        <w:rPr>
          <w:rFonts w:ascii="Times New Roman" w:eastAsia="Aptos" w:hAnsi="Times New Roman" w:cs="Times New Roman"/>
          <w:color w:val="000000" w:themeColor="text1"/>
          <w:lang w:val="en-GB"/>
        </w:rPr>
        <w:t xml:space="preserve">his </w:t>
      </w:r>
      <w:r w:rsidR="00F05444" w:rsidRPr="00163BB5">
        <w:rPr>
          <w:rFonts w:ascii="Times New Roman" w:eastAsia="Aptos" w:hAnsi="Times New Roman" w:cs="Times New Roman"/>
          <w:color w:val="000000" w:themeColor="text1"/>
          <w:lang w:val="en-GB"/>
        </w:rPr>
        <w:t xml:space="preserve">strongly </w:t>
      </w:r>
      <w:r w:rsidRPr="00163BB5">
        <w:rPr>
          <w:rFonts w:ascii="Times New Roman" w:eastAsia="Aptos" w:hAnsi="Times New Roman" w:cs="Times New Roman"/>
          <w:color w:val="000000" w:themeColor="text1"/>
          <w:lang w:val="en-GB"/>
        </w:rPr>
        <w:t>relates to</w:t>
      </w:r>
      <w:r w:rsidR="00E83CED" w:rsidRPr="00163BB5">
        <w:rPr>
          <w:rFonts w:ascii="Times New Roman" w:eastAsia="Aptos" w:hAnsi="Times New Roman" w:cs="Times New Roman"/>
          <w:color w:val="000000" w:themeColor="text1"/>
          <w:lang w:val="en-GB"/>
        </w:rPr>
        <w:t xml:space="preserve"> </w:t>
      </w:r>
      <w:r w:rsidR="00F05444" w:rsidRPr="00163BB5">
        <w:rPr>
          <w:rFonts w:ascii="Times New Roman" w:eastAsia="Aptos" w:hAnsi="Times New Roman" w:cs="Times New Roman"/>
          <w:color w:val="000000" w:themeColor="text1"/>
          <w:lang w:val="en-GB"/>
        </w:rPr>
        <w:t xml:space="preserve">the concept of </w:t>
      </w:r>
      <w:r w:rsidRPr="00163BB5">
        <w:rPr>
          <w:rFonts w:ascii="Times New Roman" w:eastAsia="Aptos" w:hAnsi="Times New Roman" w:cs="Times New Roman"/>
          <w:color w:val="000000" w:themeColor="text1"/>
          <w:lang w:val="en-GB"/>
        </w:rPr>
        <w:t>interest rate risk</w:t>
      </w:r>
      <w:r w:rsidR="00E83CED" w:rsidRPr="00163BB5">
        <w:rPr>
          <w:rFonts w:ascii="Times New Roman" w:eastAsia="Aptos" w:hAnsi="Times New Roman" w:cs="Times New Roman"/>
          <w:color w:val="000000" w:themeColor="text1"/>
          <w:lang w:val="en-GB"/>
        </w:rPr>
        <w:t>.</w:t>
      </w:r>
    </w:p>
    <w:p w14:paraId="54667855" w14:textId="5FD0FF3E" w:rsidR="1CA46CE4" w:rsidRPr="00AE0ED7" w:rsidRDefault="7041723B" w:rsidP="00AE0ED7">
      <w:pPr>
        <w:spacing w:line="360" w:lineRule="auto"/>
        <w:ind w:firstLine="198"/>
        <w:jc w:val="both"/>
        <w:rPr>
          <w:rFonts w:ascii="Times New Roman" w:eastAsia="Aptos" w:hAnsi="Times New Roman" w:cs="Times New Roman"/>
          <w:color w:val="000000" w:themeColor="text1"/>
        </w:rPr>
      </w:pPr>
      <w:r w:rsidRPr="00163BB5">
        <w:rPr>
          <w:rFonts w:ascii="Times New Roman" w:eastAsia="Aptos" w:hAnsi="Times New Roman" w:cs="Times New Roman"/>
          <w:color w:val="000000" w:themeColor="text1"/>
          <w:lang w:val="en-GB"/>
        </w:rPr>
        <w:t>Hedging against interest rate risk is a common practise in the financial world. The most common forms include interest rate swaps, forward rate agreements, interest rate options and interest rate futures. Moreover, a more complex way of hedging is to use Asset-Liability Matching (ALM), which is the practise of matching the underlying characteristics of the firm’s assets and liabilities, these characteristics include maturities and interest rates</w:t>
      </w:r>
      <w:r w:rsidR="00F05444" w:rsidRPr="00163BB5">
        <w:rPr>
          <w:rFonts w:ascii="Times New Roman" w:eastAsia="Aptos" w:hAnsi="Times New Roman" w:cs="Times New Roman"/>
          <w:color w:val="000000" w:themeColor="text1"/>
          <w:lang w:val="en-GB"/>
        </w:rPr>
        <w:t xml:space="preserve"> </w:t>
      </w:r>
      <w:r w:rsidR="00F05444" w:rsidRPr="00163BB5">
        <w:rPr>
          <w:rFonts w:ascii="Times New Roman" w:hAnsi="Times New Roman" w:cs="Times New Roman"/>
        </w:rPr>
        <w:t>(Smith &amp; Stulz, 1985).</w:t>
      </w:r>
    </w:p>
    <w:p w14:paraId="2A9E137A" w14:textId="304A61F7" w:rsidR="1CA46CE4" w:rsidRPr="00163BB5" w:rsidRDefault="7041723B" w:rsidP="00AE0ED7">
      <w:pPr>
        <w:pStyle w:val="Heading2"/>
        <w:spacing w:line="360" w:lineRule="auto"/>
        <w:jc w:val="both"/>
        <w:rPr>
          <w:rFonts w:ascii="Times New Roman" w:hAnsi="Times New Roman" w:cs="Times New Roman"/>
          <w:color w:val="000000" w:themeColor="text1"/>
        </w:rPr>
      </w:pPr>
      <w:bookmarkStart w:id="4" w:name="_Toc230603266"/>
      <w:r w:rsidRPr="00163BB5">
        <w:rPr>
          <w:rFonts w:ascii="Times New Roman" w:hAnsi="Times New Roman" w:cs="Times New Roman"/>
        </w:rPr>
        <w:t>2.</w:t>
      </w:r>
      <w:r w:rsidR="00FA5D2E" w:rsidRPr="00163BB5">
        <w:rPr>
          <w:rFonts w:ascii="Times New Roman" w:hAnsi="Times New Roman" w:cs="Times New Roman"/>
        </w:rPr>
        <w:t>3</w:t>
      </w:r>
      <w:r w:rsidRPr="00163BB5">
        <w:rPr>
          <w:rFonts w:ascii="Times New Roman" w:hAnsi="Times New Roman" w:cs="Times New Roman"/>
        </w:rPr>
        <w:t>. Exchange rate risk</w:t>
      </w:r>
      <w:bookmarkEnd w:id="4"/>
    </w:p>
    <w:p w14:paraId="121CC090" w14:textId="249C19FA" w:rsidR="008A1A6F" w:rsidRPr="00163BB5" w:rsidRDefault="008C2905" w:rsidP="00AE0ED7">
      <w:pPr>
        <w:spacing w:line="360" w:lineRule="auto"/>
        <w:ind w:firstLine="198"/>
        <w:jc w:val="both"/>
        <w:rPr>
          <w:rFonts w:ascii="Times New Roman" w:hAnsi="Times New Roman" w:cs="Times New Roman"/>
          <w:color w:val="000000" w:themeColor="text1"/>
        </w:rPr>
      </w:pPr>
      <w:r w:rsidRPr="00163BB5">
        <w:rPr>
          <w:rFonts w:ascii="Times New Roman" w:hAnsi="Times New Roman" w:cs="Times New Roman"/>
          <w:color w:val="000000" w:themeColor="text1"/>
        </w:rPr>
        <w:t>Exchange rate risk</w:t>
      </w:r>
      <w:r w:rsidR="000B6F4F" w:rsidRPr="00163BB5">
        <w:rPr>
          <w:rFonts w:ascii="Times New Roman" w:hAnsi="Times New Roman" w:cs="Times New Roman"/>
          <w:color w:val="000000" w:themeColor="text1"/>
        </w:rPr>
        <w:t xml:space="preserve"> </w:t>
      </w:r>
      <w:r w:rsidR="000069A7" w:rsidRPr="00163BB5">
        <w:rPr>
          <w:rFonts w:ascii="Times New Roman" w:hAnsi="Times New Roman" w:cs="Times New Roman"/>
          <w:color w:val="000000" w:themeColor="text1"/>
        </w:rPr>
        <w:t xml:space="preserve">refers to the exposure </w:t>
      </w:r>
      <w:r w:rsidR="00E820AC" w:rsidRPr="00163BB5">
        <w:rPr>
          <w:rFonts w:ascii="Times New Roman" w:hAnsi="Times New Roman" w:cs="Times New Roman"/>
          <w:color w:val="000000" w:themeColor="text1"/>
        </w:rPr>
        <w:t>of changes in the currency exchange markets that companies face when they conduct their operations and engage in financial transactions.</w:t>
      </w:r>
      <w:r w:rsidR="00853907" w:rsidRPr="00163BB5">
        <w:rPr>
          <w:rFonts w:ascii="Times New Roman" w:hAnsi="Times New Roman" w:cs="Times New Roman"/>
          <w:color w:val="000000" w:themeColor="text1"/>
        </w:rPr>
        <w:t xml:space="preserve"> </w:t>
      </w:r>
      <w:r w:rsidR="00DE58D4" w:rsidRPr="00163BB5">
        <w:rPr>
          <w:rFonts w:ascii="Times New Roman" w:hAnsi="Times New Roman" w:cs="Times New Roman"/>
          <w:color w:val="000000" w:themeColor="text1"/>
        </w:rPr>
        <w:t>For m</w:t>
      </w:r>
      <w:r w:rsidR="00AD3954" w:rsidRPr="00163BB5">
        <w:rPr>
          <w:rFonts w:ascii="Times New Roman" w:hAnsi="Times New Roman" w:cs="Times New Roman"/>
          <w:color w:val="000000" w:themeColor="text1"/>
        </w:rPr>
        <w:t>ultinational corporations such as TSMC</w:t>
      </w:r>
      <w:r w:rsidR="007619C2" w:rsidRPr="00163BB5">
        <w:rPr>
          <w:rFonts w:ascii="Times New Roman" w:hAnsi="Times New Roman" w:cs="Times New Roman"/>
          <w:color w:val="000000" w:themeColor="text1"/>
        </w:rPr>
        <w:t xml:space="preserve">, this type of risk is especially significant, because they operate in many different </w:t>
      </w:r>
      <w:r w:rsidR="00856FB9" w:rsidRPr="00163BB5">
        <w:rPr>
          <w:rFonts w:ascii="Times New Roman" w:hAnsi="Times New Roman" w:cs="Times New Roman"/>
          <w:color w:val="000000" w:themeColor="text1"/>
        </w:rPr>
        <w:t xml:space="preserve">countries at the </w:t>
      </w:r>
      <w:r w:rsidR="00856FB9" w:rsidRPr="00163BB5">
        <w:rPr>
          <w:rFonts w:ascii="Times New Roman" w:hAnsi="Times New Roman" w:cs="Times New Roman"/>
          <w:color w:val="000000" w:themeColor="text1"/>
        </w:rPr>
        <w:lastRenderedPageBreak/>
        <w:t xml:space="preserve">same time and </w:t>
      </w:r>
      <w:r w:rsidR="00DA0955" w:rsidRPr="00163BB5">
        <w:rPr>
          <w:rFonts w:ascii="Times New Roman" w:hAnsi="Times New Roman" w:cs="Times New Roman"/>
          <w:color w:val="000000" w:themeColor="text1"/>
        </w:rPr>
        <w:t>therefore,</w:t>
      </w:r>
      <w:r w:rsidR="00856FB9" w:rsidRPr="00163BB5">
        <w:rPr>
          <w:rFonts w:ascii="Times New Roman" w:hAnsi="Times New Roman" w:cs="Times New Roman"/>
          <w:color w:val="000000" w:themeColor="text1"/>
        </w:rPr>
        <w:t xml:space="preserve"> they use many different currencies as well.</w:t>
      </w:r>
      <w:r w:rsidR="00DA0955" w:rsidRPr="00163BB5">
        <w:rPr>
          <w:rFonts w:ascii="Times New Roman" w:hAnsi="Times New Roman" w:cs="Times New Roman"/>
          <w:color w:val="000000" w:themeColor="text1"/>
        </w:rPr>
        <w:t xml:space="preserve"> This results in a scenario that even small movements </w:t>
      </w:r>
      <w:r w:rsidR="00502EA2" w:rsidRPr="00163BB5">
        <w:rPr>
          <w:rFonts w:ascii="Times New Roman" w:hAnsi="Times New Roman" w:cs="Times New Roman"/>
          <w:color w:val="000000" w:themeColor="text1"/>
        </w:rPr>
        <w:t xml:space="preserve">in exchange rates can have serious effects on a company’s </w:t>
      </w:r>
      <w:r w:rsidR="008A1A6F" w:rsidRPr="00163BB5">
        <w:rPr>
          <w:rFonts w:ascii="Times New Roman" w:hAnsi="Times New Roman" w:cs="Times New Roman"/>
          <w:color w:val="000000" w:themeColor="text1"/>
        </w:rPr>
        <w:t>profitability and competitiveness.</w:t>
      </w:r>
    </w:p>
    <w:p w14:paraId="55837215" w14:textId="2C72D920" w:rsidR="007353D5" w:rsidRPr="00163BB5" w:rsidRDefault="004C6B07" w:rsidP="00AE0ED7">
      <w:pPr>
        <w:spacing w:line="360" w:lineRule="auto"/>
        <w:ind w:firstLine="198"/>
        <w:jc w:val="both"/>
        <w:rPr>
          <w:rFonts w:ascii="Times New Roman" w:hAnsi="Times New Roman" w:cs="Times New Roman"/>
        </w:rPr>
      </w:pPr>
      <w:r w:rsidRPr="00163BB5">
        <w:rPr>
          <w:rFonts w:ascii="Times New Roman" w:hAnsi="Times New Roman" w:cs="Times New Roman"/>
          <w:color w:val="000000" w:themeColor="text1"/>
        </w:rPr>
        <w:t>Furthermore, there are many types of exchange rate risks</w:t>
      </w:r>
      <w:r w:rsidR="000F070E" w:rsidRPr="00163BB5">
        <w:rPr>
          <w:rFonts w:ascii="Times New Roman" w:hAnsi="Times New Roman" w:cs="Times New Roman"/>
          <w:color w:val="000000" w:themeColor="text1"/>
        </w:rPr>
        <w:t xml:space="preserve">. </w:t>
      </w:r>
      <w:r w:rsidR="00596097" w:rsidRPr="00163BB5">
        <w:rPr>
          <w:rFonts w:ascii="Times New Roman" w:hAnsi="Times New Roman" w:cs="Times New Roman"/>
          <w:color w:val="000000" w:themeColor="text1"/>
        </w:rPr>
        <w:t xml:space="preserve">Firstly, transaction risk refers to the </w:t>
      </w:r>
      <w:r w:rsidR="00A1212E" w:rsidRPr="00163BB5">
        <w:rPr>
          <w:rFonts w:ascii="Times New Roman" w:hAnsi="Times New Roman" w:cs="Times New Roman"/>
          <w:color w:val="000000" w:themeColor="text1"/>
        </w:rPr>
        <w:t xml:space="preserve">risk that companies have to take into consideration when they have payment obligations or  financial contracts denominated in a foreign currency. </w:t>
      </w:r>
      <w:r w:rsidR="007066C4" w:rsidRPr="00163BB5">
        <w:rPr>
          <w:rFonts w:ascii="Times New Roman" w:hAnsi="Times New Roman" w:cs="Times New Roman"/>
          <w:color w:val="000000" w:themeColor="text1"/>
        </w:rPr>
        <w:t xml:space="preserve">Another form is called translation </w:t>
      </w:r>
      <w:r w:rsidR="00B57DA2" w:rsidRPr="00163BB5">
        <w:rPr>
          <w:rFonts w:ascii="Times New Roman" w:hAnsi="Times New Roman" w:cs="Times New Roman"/>
          <w:color w:val="000000" w:themeColor="text1"/>
        </w:rPr>
        <w:t xml:space="preserve">exposure, which is specifically the risk </w:t>
      </w:r>
      <w:r w:rsidR="00124A98" w:rsidRPr="00163BB5">
        <w:rPr>
          <w:rFonts w:ascii="Times New Roman" w:hAnsi="Times New Roman" w:cs="Times New Roman"/>
          <w:color w:val="000000" w:themeColor="text1"/>
        </w:rPr>
        <w:t xml:space="preserve">that exchange rate fluctuations can have massive effects on a company’s financial statement. Lastly, </w:t>
      </w:r>
      <w:r w:rsidR="007F34E3" w:rsidRPr="00163BB5">
        <w:rPr>
          <w:rFonts w:ascii="Times New Roman" w:hAnsi="Times New Roman" w:cs="Times New Roman"/>
          <w:color w:val="000000" w:themeColor="text1"/>
        </w:rPr>
        <w:t xml:space="preserve">economic risk </w:t>
      </w:r>
      <w:r w:rsidR="002D6A6C" w:rsidRPr="00163BB5">
        <w:rPr>
          <w:rFonts w:ascii="Times New Roman" w:hAnsi="Times New Roman" w:cs="Times New Roman"/>
          <w:color w:val="000000" w:themeColor="text1"/>
        </w:rPr>
        <w:t xml:space="preserve">is associated with </w:t>
      </w:r>
      <w:r w:rsidR="00065C52" w:rsidRPr="00163BB5">
        <w:rPr>
          <w:rFonts w:ascii="Times New Roman" w:hAnsi="Times New Roman" w:cs="Times New Roman"/>
          <w:color w:val="000000" w:themeColor="text1"/>
        </w:rPr>
        <w:t>long-term exchange rate changes that effect the company’s overall economic value in the future</w:t>
      </w:r>
      <w:r w:rsidR="00CC4FA9" w:rsidRPr="00163BB5">
        <w:rPr>
          <w:rFonts w:ascii="Times New Roman" w:hAnsi="Times New Roman" w:cs="Times New Roman"/>
          <w:color w:val="000000" w:themeColor="text1"/>
        </w:rPr>
        <w:t xml:space="preserve"> </w:t>
      </w:r>
      <w:r w:rsidR="007353D5" w:rsidRPr="00163BB5">
        <w:rPr>
          <w:rFonts w:ascii="Times New Roman" w:hAnsi="Times New Roman" w:cs="Times New Roman"/>
        </w:rPr>
        <w:t>(Smith &amp; Stulz, 1985).</w:t>
      </w:r>
    </w:p>
    <w:p w14:paraId="3691F797" w14:textId="0D10C611" w:rsidR="00E27938" w:rsidRPr="00163BB5" w:rsidRDefault="000A581C" w:rsidP="00AE0ED7">
      <w:pPr>
        <w:spacing w:line="360" w:lineRule="auto"/>
        <w:ind w:firstLine="198"/>
        <w:jc w:val="both"/>
        <w:rPr>
          <w:rFonts w:ascii="Times New Roman" w:hAnsi="Times New Roman" w:cs="Times New Roman"/>
        </w:rPr>
      </w:pPr>
      <w:r w:rsidRPr="00163BB5">
        <w:rPr>
          <w:rFonts w:ascii="Times New Roman" w:hAnsi="Times New Roman" w:cs="Times New Roman"/>
        </w:rPr>
        <w:t>Specifically, TSMC sells most of its semi</w:t>
      </w:r>
      <w:r w:rsidR="00C510A6" w:rsidRPr="00163BB5">
        <w:rPr>
          <w:rFonts w:ascii="Times New Roman" w:hAnsi="Times New Roman" w:cs="Times New Roman"/>
        </w:rPr>
        <w:t xml:space="preserve">conductors to the US market, and therefore most of their revenues come in the form of USD, while most of its </w:t>
      </w:r>
      <w:r w:rsidR="005273B8" w:rsidRPr="00163BB5">
        <w:rPr>
          <w:rFonts w:ascii="Times New Roman" w:hAnsi="Times New Roman" w:cs="Times New Roman"/>
        </w:rPr>
        <w:t>operations are still conducted in Taiwan in New Taiwan Dollars (NTD)</w:t>
      </w:r>
      <w:r w:rsidR="00CE4E8F" w:rsidRPr="00163BB5">
        <w:rPr>
          <w:rFonts w:ascii="Times New Roman" w:hAnsi="Times New Roman" w:cs="Times New Roman"/>
        </w:rPr>
        <w:t xml:space="preserve"> (TSMC,2026)</w:t>
      </w:r>
      <w:r w:rsidR="005273B8" w:rsidRPr="00163BB5">
        <w:rPr>
          <w:rFonts w:ascii="Times New Roman" w:hAnsi="Times New Roman" w:cs="Times New Roman"/>
        </w:rPr>
        <w:t xml:space="preserve">. </w:t>
      </w:r>
      <w:r w:rsidR="00153669" w:rsidRPr="00163BB5">
        <w:rPr>
          <w:rFonts w:ascii="Times New Roman" w:hAnsi="Times New Roman" w:cs="Times New Roman"/>
        </w:rPr>
        <w:t xml:space="preserve">This creates exchange rate risk, because if </w:t>
      </w:r>
      <w:r w:rsidR="007F10ED" w:rsidRPr="00163BB5">
        <w:rPr>
          <w:rFonts w:ascii="Times New Roman" w:hAnsi="Times New Roman" w:cs="Times New Roman"/>
        </w:rPr>
        <w:t>NTD and the USD currency exchange rate fluctuates</w:t>
      </w:r>
      <w:r w:rsidR="005B440E" w:rsidRPr="00163BB5">
        <w:rPr>
          <w:rFonts w:ascii="Times New Roman" w:hAnsi="Times New Roman" w:cs="Times New Roman"/>
        </w:rPr>
        <w:t xml:space="preserve"> and for example the US dollar depreciates, then </w:t>
      </w:r>
      <w:r w:rsidR="00F45D84" w:rsidRPr="00163BB5">
        <w:rPr>
          <w:rFonts w:ascii="Times New Roman" w:hAnsi="Times New Roman" w:cs="Times New Roman"/>
        </w:rPr>
        <w:t>this results in a relative decrease in revenues compared to company costs</w:t>
      </w:r>
      <w:r w:rsidR="00CE4E8F" w:rsidRPr="00163BB5">
        <w:rPr>
          <w:rFonts w:ascii="Times New Roman" w:hAnsi="Times New Roman" w:cs="Times New Roman"/>
        </w:rPr>
        <w:t>. On the other ha</w:t>
      </w:r>
      <w:r w:rsidR="00E27938" w:rsidRPr="00163BB5">
        <w:rPr>
          <w:rFonts w:ascii="Times New Roman" w:hAnsi="Times New Roman" w:cs="Times New Roman"/>
        </w:rPr>
        <w:t>nd, if the USD suddenly appreciates than the revenues of TSMC increase relative to costs.</w:t>
      </w:r>
    </w:p>
    <w:p w14:paraId="4628375D" w14:textId="138FFCC8" w:rsidR="1CA46CE4" w:rsidRPr="00163BB5" w:rsidRDefault="00F57526" w:rsidP="00AE0ED7">
      <w:pPr>
        <w:spacing w:line="360" w:lineRule="auto"/>
        <w:ind w:firstLine="198"/>
        <w:jc w:val="both"/>
        <w:rPr>
          <w:rFonts w:ascii="Times New Roman" w:hAnsi="Times New Roman" w:cs="Times New Roman"/>
          <w:color w:val="000000" w:themeColor="text1"/>
        </w:rPr>
      </w:pPr>
      <w:r w:rsidRPr="00163BB5">
        <w:rPr>
          <w:rFonts w:ascii="Times New Roman" w:hAnsi="Times New Roman" w:cs="Times New Roman"/>
          <w:color w:val="000000" w:themeColor="text1"/>
        </w:rPr>
        <w:t xml:space="preserve">To </w:t>
      </w:r>
      <w:r w:rsidR="008644BB" w:rsidRPr="00163BB5">
        <w:rPr>
          <w:rFonts w:ascii="Times New Roman" w:hAnsi="Times New Roman" w:cs="Times New Roman"/>
          <w:color w:val="000000" w:themeColor="text1"/>
        </w:rPr>
        <w:t xml:space="preserve">hedge against exchange rate risks, companies usually use </w:t>
      </w:r>
      <w:r w:rsidR="00606FF5" w:rsidRPr="00163BB5">
        <w:rPr>
          <w:rFonts w:ascii="Times New Roman" w:hAnsi="Times New Roman" w:cs="Times New Roman"/>
          <w:color w:val="000000" w:themeColor="text1"/>
        </w:rPr>
        <w:t xml:space="preserve">financial tools such as foreign exchange forwards, currency swaps </w:t>
      </w:r>
      <w:r w:rsidR="00C30191" w:rsidRPr="00163BB5">
        <w:rPr>
          <w:rFonts w:ascii="Times New Roman" w:hAnsi="Times New Roman" w:cs="Times New Roman"/>
          <w:color w:val="000000" w:themeColor="text1"/>
        </w:rPr>
        <w:t xml:space="preserve">or options. Moreover, a company can also try to match its costs and revenues inside any particular currency area that it operates it, this </w:t>
      </w:r>
      <w:r w:rsidR="00100A92" w:rsidRPr="00163BB5">
        <w:rPr>
          <w:rFonts w:ascii="Times New Roman" w:hAnsi="Times New Roman" w:cs="Times New Roman"/>
          <w:color w:val="000000" w:themeColor="text1"/>
        </w:rPr>
        <w:t xml:space="preserve">is an operational hedging technique. </w:t>
      </w:r>
      <w:r w:rsidR="007E3CB7" w:rsidRPr="00163BB5">
        <w:rPr>
          <w:rFonts w:ascii="Times New Roman" w:hAnsi="Times New Roman" w:cs="Times New Roman"/>
          <w:color w:val="000000" w:themeColor="text1"/>
        </w:rPr>
        <w:t xml:space="preserve">While these hedging tools can provide some protection against exchange rate risk, </w:t>
      </w:r>
      <w:r w:rsidR="00B74F55" w:rsidRPr="00163BB5">
        <w:rPr>
          <w:rFonts w:ascii="Times New Roman" w:hAnsi="Times New Roman" w:cs="Times New Roman"/>
          <w:color w:val="000000" w:themeColor="text1"/>
        </w:rPr>
        <w:t xml:space="preserve">they cannot fully protect these companies against </w:t>
      </w:r>
      <w:r w:rsidR="00DE0EFD" w:rsidRPr="00163BB5">
        <w:rPr>
          <w:rFonts w:ascii="Times New Roman" w:hAnsi="Times New Roman" w:cs="Times New Roman"/>
          <w:color w:val="000000" w:themeColor="text1"/>
        </w:rPr>
        <w:t>unpredictable currency exchange market fluctuations</w:t>
      </w:r>
      <w:r w:rsidR="000D7699" w:rsidRPr="00163BB5">
        <w:rPr>
          <w:rFonts w:ascii="Times New Roman" w:hAnsi="Times New Roman" w:cs="Times New Roman"/>
          <w:color w:val="000000" w:themeColor="text1"/>
        </w:rPr>
        <w:t xml:space="preserve"> (</w:t>
      </w:r>
      <w:r w:rsidR="000D7699" w:rsidRPr="00163BB5">
        <w:rPr>
          <w:rFonts w:ascii="Times New Roman" w:hAnsi="Times New Roman" w:cs="Times New Roman"/>
        </w:rPr>
        <w:t>Smith &amp; Stulz, 1985; Ivanov &amp; Dolgui, 2020).</w:t>
      </w:r>
    </w:p>
    <w:p w14:paraId="01832395" w14:textId="63B7B726" w:rsidR="11DCAF9A" w:rsidRPr="00163BB5" w:rsidRDefault="7041723B" w:rsidP="00FF22E9">
      <w:pPr>
        <w:pStyle w:val="Heading2"/>
        <w:spacing w:line="360" w:lineRule="auto"/>
        <w:jc w:val="both"/>
        <w:rPr>
          <w:rFonts w:ascii="Times New Roman" w:hAnsi="Times New Roman" w:cs="Times New Roman"/>
          <w:color w:val="000000" w:themeColor="text1"/>
        </w:rPr>
      </w:pPr>
      <w:bookmarkStart w:id="5" w:name="_Toc230603267"/>
      <w:r w:rsidRPr="00163BB5">
        <w:rPr>
          <w:rFonts w:ascii="Times New Roman" w:hAnsi="Times New Roman" w:cs="Times New Roman"/>
        </w:rPr>
        <w:t>2.</w:t>
      </w:r>
      <w:r w:rsidR="00FA5D2E" w:rsidRPr="00163BB5">
        <w:rPr>
          <w:rFonts w:ascii="Times New Roman" w:hAnsi="Times New Roman" w:cs="Times New Roman"/>
        </w:rPr>
        <w:t>4</w:t>
      </w:r>
      <w:r w:rsidRPr="00163BB5">
        <w:rPr>
          <w:rFonts w:ascii="Times New Roman" w:hAnsi="Times New Roman" w:cs="Times New Roman"/>
        </w:rPr>
        <w:t>. Inflation rate risk</w:t>
      </w:r>
      <w:bookmarkEnd w:id="5"/>
    </w:p>
    <w:p w14:paraId="0159EF74" w14:textId="369EAA48" w:rsidR="00A34E46" w:rsidRPr="00163BB5" w:rsidRDefault="0083705B" w:rsidP="00FF22E9">
      <w:pPr>
        <w:spacing w:line="360" w:lineRule="auto"/>
        <w:ind w:firstLine="198"/>
        <w:jc w:val="both"/>
        <w:rPr>
          <w:rFonts w:ascii="Times New Roman" w:hAnsi="Times New Roman" w:cs="Times New Roman"/>
          <w:color w:val="000000" w:themeColor="text1"/>
        </w:rPr>
      </w:pPr>
      <w:r w:rsidRPr="00163BB5">
        <w:rPr>
          <w:rFonts w:ascii="Times New Roman" w:hAnsi="Times New Roman" w:cs="Times New Roman"/>
          <w:color w:val="000000" w:themeColor="text1"/>
        </w:rPr>
        <w:t>Inflation rate risk is</w:t>
      </w:r>
      <w:r w:rsidR="000D7699" w:rsidRPr="00163BB5">
        <w:rPr>
          <w:rFonts w:ascii="Times New Roman" w:hAnsi="Times New Roman" w:cs="Times New Roman"/>
          <w:color w:val="000000" w:themeColor="text1"/>
        </w:rPr>
        <w:t xml:space="preserve"> </w:t>
      </w:r>
      <w:r w:rsidR="00102156" w:rsidRPr="00163BB5">
        <w:rPr>
          <w:rFonts w:ascii="Times New Roman" w:hAnsi="Times New Roman" w:cs="Times New Roman"/>
          <w:color w:val="000000" w:themeColor="text1"/>
        </w:rPr>
        <w:t xml:space="preserve">focused on </w:t>
      </w:r>
      <w:r w:rsidR="00216267" w:rsidRPr="00163BB5">
        <w:rPr>
          <w:rFonts w:ascii="Times New Roman" w:hAnsi="Times New Roman" w:cs="Times New Roman"/>
          <w:color w:val="000000" w:themeColor="text1"/>
        </w:rPr>
        <w:t xml:space="preserve">how changes in the price level </w:t>
      </w:r>
      <w:r w:rsidR="00734F81" w:rsidRPr="00163BB5">
        <w:rPr>
          <w:rFonts w:ascii="Times New Roman" w:hAnsi="Times New Roman" w:cs="Times New Roman"/>
          <w:color w:val="000000" w:themeColor="text1"/>
        </w:rPr>
        <w:t xml:space="preserve">can have a negative effect on </w:t>
      </w:r>
      <w:r w:rsidR="00876ED8" w:rsidRPr="00163BB5">
        <w:rPr>
          <w:rFonts w:ascii="Times New Roman" w:hAnsi="Times New Roman" w:cs="Times New Roman"/>
          <w:color w:val="000000" w:themeColor="text1"/>
        </w:rPr>
        <w:t xml:space="preserve">a firm’s aggregate costs. </w:t>
      </w:r>
      <w:r w:rsidR="004F1510" w:rsidRPr="00163BB5">
        <w:rPr>
          <w:rFonts w:ascii="Times New Roman" w:hAnsi="Times New Roman" w:cs="Times New Roman"/>
          <w:color w:val="000000" w:themeColor="text1"/>
        </w:rPr>
        <w:t xml:space="preserve">Inflation </w:t>
      </w:r>
      <w:r w:rsidR="00960D41" w:rsidRPr="00163BB5">
        <w:rPr>
          <w:rFonts w:ascii="Times New Roman" w:hAnsi="Times New Roman" w:cs="Times New Roman"/>
          <w:color w:val="000000" w:themeColor="text1"/>
        </w:rPr>
        <w:t xml:space="preserve">increases the price of </w:t>
      </w:r>
      <w:r w:rsidR="00731C4A" w:rsidRPr="00163BB5">
        <w:rPr>
          <w:rFonts w:ascii="Times New Roman" w:hAnsi="Times New Roman" w:cs="Times New Roman"/>
          <w:color w:val="000000" w:themeColor="text1"/>
        </w:rPr>
        <w:t xml:space="preserve">required resources, electricity, wages, transformation costs and much more. </w:t>
      </w:r>
      <w:r w:rsidR="001077C2" w:rsidRPr="00163BB5">
        <w:rPr>
          <w:rFonts w:ascii="Times New Roman" w:hAnsi="Times New Roman" w:cs="Times New Roman"/>
          <w:color w:val="000000" w:themeColor="text1"/>
        </w:rPr>
        <w:t xml:space="preserve">Therefore, a negative inflationary shock puts pressure on </w:t>
      </w:r>
      <w:r w:rsidR="00A34E46" w:rsidRPr="00163BB5">
        <w:rPr>
          <w:rFonts w:ascii="Times New Roman" w:hAnsi="Times New Roman" w:cs="Times New Roman"/>
          <w:color w:val="000000" w:themeColor="text1"/>
        </w:rPr>
        <w:t>companies,</w:t>
      </w:r>
      <w:r w:rsidR="001077C2" w:rsidRPr="00163BB5">
        <w:rPr>
          <w:rFonts w:ascii="Times New Roman" w:hAnsi="Times New Roman" w:cs="Times New Roman"/>
          <w:color w:val="000000" w:themeColor="text1"/>
        </w:rPr>
        <w:t xml:space="preserve"> and </w:t>
      </w:r>
      <w:r w:rsidR="00DC48DE" w:rsidRPr="00163BB5">
        <w:rPr>
          <w:rFonts w:ascii="Times New Roman" w:hAnsi="Times New Roman" w:cs="Times New Roman"/>
          <w:color w:val="000000" w:themeColor="text1"/>
        </w:rPr>
        <w:t>it can create more uncertainty about a company’s fi</w:t>
      </w:r>
      <w:r w:rsidR="00A82149" w:rsidRPr="00163BB5">
        <w:rPr>
          <w:rFonts w:ascii="Times New Roman" w:hAnsi="Times New Roman" w:cs="Times New Roman"/>
          <w:color w:val="000000" w:themeColor="text1"/>
        </w:rPr>
        <w:t>nancial performance, this is especially true for multinational firms</w:t>
      </w:r>
      <w:r w:rsidR="00A34E46" w:rsidRPr="00163BB5">
        <w:rPr>
          <w:rFonts w:ascii="Times New Roman" w:hAnsi="Times New Roman" w:cs="Times New Roman"/>
          <w:color w:val="000000" w:themeColor="text1"/>
        </w:rPr>
        <w:t xml:space="preserve"> in capital-intensive markets.</w:t>
      </w:r>
    </w:p>
    <w:p w14:paraId="5239D0CD" w14:textId="2EDCD857" w:rsidR="00BA5216" w:rsidRPr="00163BB5" w:rsidRDefault="006E55E1" w:rsidP="00FF22E9">
      <w:pPr>
        <w:spacing w:line="360" w:lineRule="auto"/>
        <w:ind w:firstLine="198"/>
        <w:jc w:val="both"/>
        <w:rPr>
          <w:rFonts w:ascii="Times New Roman" w:hAnsi="Times New Roman" w:cs="Times New Roman"/>
          <w:color w:val="000000" w:themeColor="text1"/>
        </w:rPr>
      </w:pPr>
      <w:r w:rsidRPr="00163BB5">
        <w:rPr>
          <w:rFonts w:ascii="Times New Roman" w:hAnsi="Times New Roman" w:cs="Times New Roman"/>
          <w:color w:val="000000" w:themeColor="text1"/>
        </w:rPr>
        <w:t xml:space="preserve">Macroeconomc theory </w:t>
      </w:r>
      <w:r w:rsidR="002B78B5" w:rsidRPr="00163BB5">
        <w:rPr>
          <w:rFonts w:ascii="Times New Roman" w:hAnsi="Times New Roman" w:cs="Times New Roman"/>
          <w:color w:val="000000" w:themeColor="text1"/>
        </w:rPr>
        <w:t xml:space="preserve">suggests that inflation is closely connected to monetary policy and changing interest rates. </w:t>
      </w:r>
      <w:r w:rsidR="00F940CA" w:rsidRPr="00163BB5">
        <w:rPr>
          <w:rFonts w:ascii="Times New Roman" w:hAnsi="Times New Roman" w:cs="Times New Roman"/>
          <w:color w:val="000000" w:themeColor="text1"/>
        </w:rPr>
        <w:t xml:space="preserve">Specifically, central banks (CB) </w:t>
      </w:r>
      <w:r w:rsidR="00C042B2" w:rsidRPr="00163BB5">
        <w:rPr>
          <w:rFonts w:ascii="Times New Roman" w:hAnsi="Times New Roman" w:cs="Times New Roman"/>
          <w:color w:val="000000" w:themeColor="text1"/>
        </w:rPr>
        <w:t xml:space="preserve">can raise interest rates to </w:t>
      </w:r>
      <w:r w:rsidR="008D3DA8" w:rsidRPr="00163BB5">
        <w:rPr>
          <w:rFonts w:ascii="Times New Roman" w:hAnsi="Times New Roman" w:cs="Times New Roman"/>
          <w:color w:val="000000" w:themeColor="text1"/>
        </w:rPr>
        <w:t xml:space="preserve">bring down the level of </w:t>
      </w:r>
      <w:r w:rsidR="00C042B2" w:rsidRPr="00163BB5">
        <w:rPr>
          <w:rFonts w:ascii="Times New Roman" w:hAnsi="Times New Roman" w:cs="Times New Roman"/>
          <w:color w:val="000000" w:themeColor="text1"/>
        </w:rPr>
        <w:t xml:space="preserve">inflation </w:t>
      </w:r>
      <w:r w:rsidR="008D3DA8" w:rsidRPr="00163BB5">
        <w:rPr>
          <w:rFonts w:ascii="Times New Roman" w:hAnsi="Times New Roman" w:cs="Times New Roman"/>
          <w:color w:val="000000" w:themeColor="text1"/>
        </w:rPr>
        <w:t>in the domestic economy</w:t>
      </w:r>
      <w:r w:rsidR="00E57CBA" w:rsidRPr="00163BB5">
        <w:rPr>
          <w:rFonts w:ascii="Times New Roman" w:hAnsi="Times New Roman" w:cs="Times New Roman"/>
          <w:color w:val="000000" w:themeColor="text1"/>
        </w:rPr>
        <w:t xml:space="preserve"> (</w:t>
      </w:r>
      <w:r w:rsidR="00FF31E3" w:rsidRPr="00163BB5">
        <w:rPr>
          <w:rFonts w:ascii="Times New Roman" w:hAnsi="Times New Roman" w:cs="Times New Roman"/>
          <w:color w:val="000000" w:themeColor="text1"/>
        </w:rPr>
        <w:t>Alvarez et al., 2001</w:t>
      </w:r>
      <w:r w:rsidR="00E57CBA" w:rsidRPr="00163BB5">
        <w:rPr>
          <w:rFonts w:ascii="Times New Roman" w:hAnsi="Times New Roman" w:cs="Times New Roman"/>
          <w:color w:val="000000" w:themeColor="text1"/>
        </w:rPr>
        <w:t>)</w:t>
      </w:r>
      <w:r w:rsidR="009B2B1E" w:rsidRPr="00163BB5">
        <w:rPr>
          <w:rFonts w:ascii="Times New Roman" w:hAnsi="Times New Roman" w:cs="Times New Roman"/>
          <w:color w:val="000000" w:themeColor="text1"/>
        </w:rPr>
        <w:t xml:space="preserve">. </w:t>
      </w:r>
      <w:r w:rsidR="00E57CBA" w:rsidRPr="00163BB5">
        <w:rPr>
          <w:rFonts w:ascii="Times New Roman" w:hAnsi="Times New Roman" w:cs="Times New Roman"/>
          <w:color w:val="000000" w:themeColor="text1"/>
        </w:rPr>
        <w:t>However, a</w:t>
      </w:r>
      <w:r w:rsidR="009B2B1E" w:rsidRPr="00163BB5">
        <w:rPr>
          <w:rFonts w:ascii="Times New Roman" w:hAnsi="Times New Roman" w:cs="Times New Roman"/>
          <w:color w:val="000000" w:themeColor="text1"/>
        </w:rPr>
        <w:t>s it was already stated in the interest rate risk section above</w:t>
      </w:r>
      <w:r w:rsidR="00E57CBA" w:rsidRPr="00163BB5">
        <w:rPr>
          <w:rFonts w:ascii="Times New Roman" w:hAnsi="Times New Roman" w:cs="Times New Roman"/>
          <w:color w:val="000000" w:themeColor="text1"/>
        </w:rPr>
        <w:t xml:space="preserve"> higher interest rates increase borrowing costs as well. </w:t>
      </w:r>
      <w:r w:rsidR="00FF31E3" w:rsidRPr="00163BB5">
        <w:rPr>
          <w:rFonts w:ascii="Times New Roman" w:hAnsi="Times New Roman" w:cs="Times New Roman"/>
          <w:color w:val="000000" w:themeColor="text1"/>
        </w:rPr>
        <w:t xml:space="preserve">Therefore, inflation rate risk is closely related to </w:t>
      </w:r>
      <w:r w:rsidR="004F63E6" w:rsidRPr="00163BB5">
        <w:rPr>
          <w:rFonts w:ascii="Times New Roman" w:hAnsi="Times New Roman" w:cs="Times New Roman"/>
          <w:color w:val="000000" w:themeColor="text1"/>
        </w:rPr>
        <w:t>interest rate risk, because co</w:t>
      </w:r>
      <w:r w:rsidR="00C435F7" w:rsidRPr="00163BB5">
        <w:rPr>
          <w:rFonts w:ascii="Times New Roman" w:hAnsi="Times New Roman" w:cs="Times New Roman"/>
          <w:color w:val="000000" w:themeColor="text1"/>
        </w:rPr>
        <w:t xml:space="preserve">rporations can face higher operational costs and borrowing expenses at the same time, when the CB decides to raise rates to fight inflation, but inflation takes some time to go down, while interest rates </w:t>
      </w:r>
      <w:r w:rsidR="00BA5216" w:rsidRPr="00163BB5">
        <w:rPr>
          <w:rFonts w:ascii="Times New Roman" w:hAnsi="Times New Roman" w:cs="Times New Roman"/>
          <w:color w:val="000000" w:themeColor="text1"/>
        </w:rPr>
        <w:t>increase quickly.</w:t>
      </w:r>
    </w:p>
    <w:p w14:paraId="109D0851" w14:textId="1976D606" w:rsidR="00A36245" w:rsidRPr="00163BB5" w:rsidRDefault="00040DEC" w:rsidP="00FF22E9">
      <w:pPr>
        <w:spacing w:line="360" w:lineRule="auto"/>
        <w:ind w:firstLine="198"/>
        <w:jc w:val="both"/>
        <w:rPr>
          <w:rFonts w:ascii="Times New Roman" w:hAnsi="Times New Roman" w:cs="Times New Roman"/>
        </w:rPr>
      </w:pPr>
      <w:r w:rsidRPr="00163BB5">
        <w:rPr>
          <w:rFonts w:ascii="Times New Roman" w:hAnsi="Times New Roman" w:cs="Times New Roman"/>
          <w:color w:val="000000" w:themeColor="text1"/>
        </w:rPr>
        <w:t xml:space="preserve">In addition, the semiconductor manufacturing industry is heavily exposed to changes in inflation rates. </w:t>
      </w:r>
      <w:r w:rsidR="00A8705F" w:rsidRPr="00163BB5">
        <w:rPr>
          <w:rFonts w:ascii="Times New Roman" w:hAnsi="Times New Roman" w:cs="Times New Roman"/>
          <w:color w:val="000000" w:themeColor="text1"/>
        </w:rPr>
        <w:t xml:space="preserve">Semiconductor factories require large amounts of water, </w:t>
      </w:r>
      <w:r w:rsidR="005B6A2C" w:rsidRPr="00163BB5">
        <w:rPr>
          <w:rFonts w:ascii="Times New Roman" w:hAnsi="Times New Roman" w:cs="Times New Roman"/>
          <w:color w:val="000000" w:themeColor="text1"/>
        </w:rPr>
        <w:t>electricity and specialized materials to properly function.</w:t>
      </w:r>
      <w:r w:rsidR="000E7366" w:rsidRPr="00163BB5">
        <w:rPr>
          <w:rFonts w:ascii="Times New Roman" w:hAnsi="Times New Roman" w:cs="Times New Roman"/>
          <w:color w:val="000000" w:themeColor="text1"/>
        </w:rPr>
        <w:t xml:space="preserve"> As a result, the effects of </w:t>
      </w:r>
      <w:r w:rsidR="005C3477" w:rsidRPr="00163BB5">
        <w:rPr>
          <w:rFonts w:ascii="Times New Roman" w:hAnsi="Times New Roman" w:cs="Times New Roman"/>
          <w:color w:val="000000" w:themeColor="text1"/>
        </w:rPr>
        <w:t>rising commodity and energy prices increase overall operational costs</w:t>
      </w:r>
      <w:r w:rsidR="00770F6D" w:rsidRPr="00163BB5">
        <w:rPr>
          <w:rFonts w:ascii="Times New Roman" w:hAnsi="Times New Roman" w:cs="Times New Roman"/>
          <w:color w:val="000000" w:themeColor="text1"/>
        </w:rPr>
        <w:t xml:space="preserve">, </w:t>
      </w:r>
      <w:r w:rsidR="00770F6D" w:rsidRPr="00163BB5">
        <w:rPr>
          <w:rFonts w:ascii="Times New Roman" w:hAnsi="Times New Roman" w:cs="Times New Roman"/>
          <w:color w:val="000000" w:themeColor="text1"/>
        </w:rPr>
        <w:lastRenderedPageBreak/>
        <w:t>which in turn decreases the profitability of the company</w:t>
      </w:r>
      <w:r w:rsidR="0098321C" w:rsidRPr="00163BB5">
        <w:rPr>
          <w:rFonts w:ascii="Times New Roman" w:hAnsi="Times New Roman" w:cs="Times New Roman"/>
          <w:color w:val="000000" w:themeColor="text1"/>
        </w:rPr>
        <w:t xml:space="preserve"> </w:t>
      </w:r>
      <w:r w:rsidR="0098321C" w:rsidRPr="00163BB5">
        <w:rPr>
          <w:rFonts w:ascii="Times New Roman" w:hAnsi="Times New Roman" w:cs="Times New Roman"/>
        </w:rPr>
        <w:t>(Wang et al., 2023).</w:t>
      </w:r>
      <w:r w:rsidR="00ED638C" w:rsidRPr="00163BB5">
        <w:rPr>
          <w:rFonts w:ascii="Times New Roman" w:hAnsi="Times New Roman" w:cs="Times New Roman"/>
        </w:rPr>
        <w:t xml:space="preserve"> </w:t>
      </w:r>
      <w:r w:rsidR="008A0047" w:rsidRPr="00163BB5">
        <w:rPr>
          <w:rFonts w:ascii="Times New Roman" w:hAnsi="Times New Roman" w:cs="Times New Roman"/>
        </w:rPr>
        <w:t xml:space="preserve">Producing technologically advanced chips also requires </w:t>
      </w:r>
      <w:r w:rsidR="00B15E7E" w:rsidRPr="00163BB5">
        <w:rPr>
          <w:rFonts w:ascii="Times New Roman" w:hAnsi="Times New Roman" w:cs="Times New Roman"/>
        </w:rPr>
        <w:t xml:space="preserve">technicians and highly skilled </w:t>
      </w:r>
      <w:r w:rsidR="00CF3455" w:rsidRPr="00163BB5">
        <w:rPr>
          <w:rFonts w:ascii="Times New Roman" w:hAnsi="Times New Roman" w:cs="Times New Roman"/>
        </w:rPr>
        <w:t xml:space="preserve">workers. Inflation increases the wage expenses for these workers, which is an additional risk that </w:t>
      </w:r>
      <w:r w:rsidR="00CC22DC" w:rsidRPr="00163BB5">
        <w:rPr>
          <w:rFonts w:ascii="Times New Roman" w:hAnsi="Times New Roman" w:cs="Times New Roman"/>
        </w:rPr>
        <w:t>companies have to take into consideration</w:t>
      </w:r>
      <w:r w:rsidR="00A36245" w:rsidRPr="00163BB5">
        <w:rPr>
          <w:rFonts w:ascii="Times New Roman" w:hAnsi="Times New Roman" w:cs="Times New Roman"/>
        </w:rPr>
        <w:t xml:space="preserve"> </w:t>
      </w:r>
      <w:r w:rsidR="00A36245" w:rsidRPr="00163BB5">
        <w:rPr>
          <w:rFonts w:ascii="Times New Roman" w:hAnsi="Times New Roman" w:cs="Times New Roman"/>
        </w:rPr>
        <w:t>TSMC, 2025)</w:t>
      </w:r>
      <w:r w:rsidR="00CC22DC" w:rsidRPr="00163BB5">
        <w:rPr>
          <w:rFonts w:ascii="Times New Roman" w:hAnsi="Times New Roman" w:cs="Times New Roman"/>
        </w:rPr>
        <w:t>.</w:t>
      </w:r>
    </w:p>
    <w:p w14:paraId="0ECDA15E" w14:textId="57D9065E" w:rsidR="00C804CB" w:rsidRPr="00163BB5" w:rsidRDefault="00AA0DF5" w:rsidP="00A6236F">
      <w:pPr>
        <w:spacing w:line="360" w:lineRule="auto"/>
        <w:ind w:firstLine="198"/>
        <w:jc w:val="both"/>
        <w:rPr>
          <w:rFonts w:ascii="Times New Roman" w:hAnsi="Times New Roman" w:cs="Times New Roman"/>
          <w:color w:val="000000" w:themeColor="text1"/>
        </w:rPr>
      </w:pPr>
      <w:r w:rsidRPr="00163BB5">
        <w:rPr>
          <w:rFonts w:ascii="Times New Roman" w:hAnsi="Times New Roman" w:cs="Times New Roman"/>
        </w:rPr>
        <w:t xml:space="preserve">Firms use hedging techniques to reduce inflation related risks. </w:t>
      </w:r>
      <w:r w:rsidR="006B3FC5" w:rsidRPr="00163BB5">
        <w:rPr>
          <w:rFonts w:ascii="Times New Roman" w:hAnsi="Times New Roman" w:cs="Times New Roman"/>
        </w:rPr>
        <w:t xml:space="preserve">These tools include long-term supply contracts, commodity </w:t>
      </w:r>
      <w:r w:rsidR="0055102C" w:rsidRPr="00163BB5">
        <w:rPr>
          <w:rFonts w:ascii="Times New Roman" w:hAnsi="Times New Roman" w:cs="Times New Roman"/>
        </w:rPr>
        <w:t>hedging instruments and geographic diversification</w:t>
      </w:r>
      <w:r w:rsidR="00076FAE" w:rsidRPr="00163BB5">
        <w:rPr>
          <w:rFonts w:ascii="Times New Roman" w:hAnsi="Times New Roman" w:cs="Times New Roman"/>
        </w:rPr>
        <w:t xml:space="preserve"> </w:t>
      </w:r>
      <w:r w:rsidR="00076FAE" w:rsidRPr="00163BB5">
        <w:rPr>
          <w:rFonts w:ascii="Times New Roman" w:hAnsi="Times New Roman" w:cs="Times New Roman"/>
        </w:rPr>
        <w:t>(Tang &amp; Musa, 2011)</w:t>
      </w:r>
      <w:r w:rsidR="0055102C" w:rsidRPr="00163BB5">
        <w:rPr>
          <w:rFonts w:ascii="Times New Roman" w:hAnsi="Times New Roman" w:cs="Times New Roman"/>
        </w:rPr>
        <w:t xml:space="preserve">. </w:t>
      </w:r>
      <w:r w:rsidR="00076FAE" w:rsidRPr="00163BB5">
        <w:rPr>
          <w:rFonts w:ascii="Times New Roman" w:hAnsi="Times New Roman" w:cs="Times New Roman"/>
        </w:rPr>
        <w:t xml:space="preserve">Moreover, </w:t>
      </w:r>
      <w:r w:rsidR="00C84F5D" w:rsidRPr="00163BB5">
        <w:rPr>
          <w:rFonts w:ascii="Times New Roman" w:hAnsi="Times New Roman" w:cs="Times New Roman"/>
        </w:rPr>
        <w:t xml:space="preserve">companies can choose to </w:t>
      </w:r>
      <w:r w:rsidR="00F24C44" w:rsidRPr="00163BB5">
        <w:rPr>
          <w:rFonts w:ascii="Times New Roman" w:hAnsi="Times New Roman" w:cs="Times New Roman"/>
        </w:rPr>
        <w:t xml:space="preserve">make their supply chains less exposed to </w:t>
      </w:r>
      <w:r w:rsidR="00261FE2" w:rsidRPr="00163BB5">
        <w:rPr>
          <w:rFonts w:ascii="Times New Roman" w:hAnsi="Times New Roman" w:cs="Times New Roman"/>
        </w:rPr>
        <w:t>disruptions</w:t>
      </w:r>
      <w:r w:rsidR="00F24C44" w:rsidRPr="00163BB5">
        <w:rPr>
          <w:rFonts w:ascii="Times New Roman" w:hAnsi="Times New Roman" w:cs="Times New Roman"/>
        </w:rPr>
        <w:t xml:space="preserve"> </w:t>
      </w:r>
      <w:r w:rsidR="00261FE2" w:rsidRPr="00163BB5">
        <w:rPr>
          <w:rFonts w:ascii="Times New Roman" w:hAnsi="Times New Roman" w:cs="Times New Roman"/>
        </w:rPr>
        <w:t xml:space="preserve">in order to reduce the negative effects of a </w:t>
      </w:r>
      <w:r w:rsidR="00FF585E" w:rsidRPr="00163BB5">
        <w:rPr>
          <w:rFonts w:ascii="Times New Roman" w:hAnsi="Times New Roman" w:cs="Times New Roman"/>
        </w:rPr>
        <w:t>possible future negative inflationary shock</w:t>
      </w:r>
      <w:r w:rsidR="00C804CB" w:rsidRPr="00163BB5">
        <w:rPr>
          <w:rFonts w:ascii="Times New Roman" w:hAnsi="Times New Roman" w:cs="Times New Roman"/>
        </w:rPr>
        <w:t xml:space="preserve"> </w:t>
      </w:r>
      <w:r w:rsidR="00C804CB" w:rsidRPr="00163BB5">
        <w:rPr>
          <w:rFonts w:ascii="Times New Roman" w:hAnsi="Times New Roman" w:cs="Times New Roman"/>
        </w:rPr>
        <w:t>(Ivanov &amp; Dolgui, 2020).</w:t>
      </w:r>
    </w:p>
    <w:p w14:paraId="45683C26" w14:textId="58915F18" w:rsidR="62D686E4" w:rsidRPr="00163BB5" w:rsidRDefault="0D4D43B7" w:rsidP="00A6236F">
      <w:pPr>
        <w:pStyle w:val="Heading2"/>
        <w:spacing w:line="360" w:lineRule="auto"/>
        <w:jc w:val="both"/>
        <w:rPr>
          <w:rFonts w:ascii="Times New Roman" w:hAnsi="Times New Roman" w:cs="Times New Roman"/>
        </w:rPr>
      </w:pPr>
      <w:bookmarkStart w:id="6" w:name="_Toc230603268"/>
      <w:r w:rsidRPr="00163BB5">
        <w:rPr>
          <w:rFonts w:ascii="Times New Roman" w:hAnsi="Times New Roman" w:cs="Times New Roman"/>
        </w:rPr>
        <w:t>2.</w:t>
      </w:r>
      <w:r w:rsidR="00FA5D2E" w:rsidRPr="00163BB5">
        <w:rPr>
          <w:rFonts w:ascii="Times New Roman" w:hAnsi="Times New Roman" w:cs="Times New Roman"/>
        </w:rPr>
        <w:t>5</w:t>
      </w:r>
      <w:r w:rsidRPr="00163BB5">
        <w:rPr>
          <w:rFonts w:ascii="Times New Roman" w:hAnsi="Times New Roman" w:cs="Times New Roman"/>
        </w:rPr>
        <w:t xml:space="preserve">. </w:t>
      </w:r>
      <w:r w:rsidR="62D686E4" w:rsidRPr="00163BB5">
        <w:rPr>
          <w:rFonts w:ascii="Times New Roman" w:hAnsi="Times New Roman" w:cs="Times New Roman"/>
        </w:rPr>
        <w:t>Geopolitical Risk</w:t>
      </w:r>
      <w:bookmarkEnd w:id="6"/>
    </w:p>
    <w:p w14:paraId="29174757" w14:textId="2DC4EC59" w:rsidR="00CA7806" w:rsidRPr="00163BB5" w:rsidRDefault="015A71C8" w:rsidP="00710F95">
      <w:pPr>
        <w:spacing w:line="360" w:lineRule="auto"/>
        <w:ind w:firstLine="198"/>
        <w:jc w:val="both"/>
        <w:rPr>
          <w:rFonts w:ascii="Times New Roman" w:hAnsi="Times New Roman" w:cs="Times New Roman"/>
          <w:color w:val="000000" w:themeColor="text1"/>
        </w:rPr>
      </w:pPr>
      <w:r w:rsidRPr="00163BB5">
        <w:rPr>
          <w:rFonts w:ascii="Times New Roman" w:hAnsi="Times New Roman" w:cs="Times New Roman"/>
          <w:color w:val="000000" w:themeColor="text1"/>
        </w:rPr>
        <w:t xml:space="preserve">Geopolitical risk </w:t>
      </w:r>
      <w:r w:rsidR="000A0AD0" w:rsidRPr="00163BB5">
        <w:rPr>
          <w:rFonts w:ascii="Times New Roman" w:hAnsi="Times New Roman" w:cs="Times New Roman"/>
          <w:color w:val="000000" w:themeColor="text1"/>
        </w:rPr>
        <w:t>refers to the idea that</w:t>
      </w:r>
      <w:r w:rsidRPr="00163BB5">
        <w:rPr>
          <w:rFonts w:ascii="Times New Roman" w:hAnsi="Times New Roman" w:cs="Times New Roman"/>
          <w:color w:val="000000" w:themeColor="text1"/>
        </w:rPr>
        <w:t xml:space="preserve"> political events, instability or conflicts </w:t>
      </w:r>
      <w:r w:rsidR="000A0AD0" w:rsidRPr="00163BB5">
        <w:rPr>
          <w:rFonts w:ascii="Times New Roman" w:hAnsi="Times New Roman" w:cs="Times New Roman"/>
          <w:color w:val="000000" w:themeColor="text1"/>
        </w:rPr>
        <w:t>are able to</w:t>
      </w:r>
      <w:r w:rsidRPr="00163BB5">
        <w:rPr>
          <w:rFonts w:ascii="Times New Roman" w:hAnsi="Times New Roman" w:cs="Times New Roman"/>
          <w:color w:val="000000" w:themeColor="text1"/>
        </w:rPr>
        <w:t xml:space="preserve"> compromise a company’s strategy, profitability or </w:t>
      </w:r>
      <w:r w:rsidR="00F95D17" w:rsidRPr="00163BB5">
        <w:rPr>
          <w:rFonts w:ascii="Times New Roman" w:hAnsi="Times New Roman" w:cs="Times New Roman"/>
          <w:color w:val="000000" w:themeColor="text1"/>
        </w:rPr>
        <w:t>operations in places where it operates</w:t>
      </w:r>
      <w:r w:rsidR="000A073C" w:rsidRPr="00163BB5">
        <w:rPr>
          <w:rFonts w:ascii="Times New Roman" w:hAnsi="Times New Roman" w:cs="Times New Roman"/>
          <w:color w:val="000000" w:themeColor="text1"/>
        </w:rPr>
        <w:t>.</w:t>
      </w:r>
      <w:r w:rsidR="00875162" w:rsidRPr="00163BB5">
        <w:rPr>
          <w:rFonts w:ascii="Times New Roman" w:hAnsi="Times New Roman" w:cs="Times New Roman"/>
          <w:color w:val="000000" w:themeColor="text1"/>
        </w:rPr>
        <w:t xml:space="preserve"> </w:t>
      </w:r>
      <w:r w:rsidRPr="00163BB5">
        <w:rPr>
          <w:rFonts w:ascii="Times New Roman" w:hAnsi="Times New Roman" w:cs="Times New Roman"/>
          <w:color w:val="000000" w:themeColor="text1"/>
        </w:rPr>
        <w:t xml:space="preserve">This risk can </w:t>
      </w:r>
      <w:r w:rsidR="00DE61BF" w:rsidRPr="00163BB5">
        <w:rPr>
          <w:rFonts w:ascii="Times New Roman" w:hAnsi="Times New Roman" w:cs="Times New Roman"/>
          <w:color w:val="000000" w:themeColor="text1"/>
        </w:rPr>
        <w:t xml:space="preserve">originate </w:t>
      </w:r>
      <w:r w:rsidRPr="00163BB5">
        <w:rPr>
          <w:rFonts w:ascii="Times New Roman" w:hAnsi="Times New Roman" w:cs="Times New Roman"/>
          <w:color w:val="000000" w:themeColor="text1"/>
        </w:rPr>
        <w:t xml:space="preserve">from regulatory changes, war, political instability or terrorism. </w:t>
      </w:r>
      <w:r w:rsidR="007E3C23" w:rsidRPr="00163BB5">
        <w:rPr>
          <w:rFonts w:ascii="Times New Roman" w:hAnsi="Times New Roman" w:cs="Times New Roman"/>
          <w:color w:val="000000" w:themeColor="text1"/>
        </w:rPr>
        <w:t xml:space="preserve">In the current geopolitical </w:t>
      </w:r>
      <w:r w:rsidR="00AF6084" w:rsidRPr="00163BB5">
        <w:rPr>
          <w:rFonts w:ascii="Times New Roman" w:hAnsi="Times New Roman" w:cs="Times New Roman"/>
          <w:color w:val="000000" w:themeColor="text1"/>
        </w:rPr>
        <w:t xml:space="preserve">climate, where the semiconductor industry is increasingly being </w:t>
      </w:r>
      <w:r w:rsidR="0037533C" w:rsidRPr="00163BB5">
        <w:rPr>
          <w:rFonts w:ascii="Times New Roman" w:hAnsi="Times New Roman" w:cs="Times New Roman"/>
          <w:color w:val="000000" w:themeColor="text1"/>
        </w:rPr>
        <w:t>seen</w:t>
      </w:r>
      <w:r w:rsidR="00AF6084" w:rsidRPr="00163BB5">
        <w:rPr>
          <w:rFonts w:ascii="Times New Roman" w:hAnsi="Times New Roman" w:cs="Times New Roman"/>
          <w:color w:val="000000" w:themeColor="text1"/>
        </w:rPr>
        <w:t xml:space="preserve"> as a </w:t>
      </w:r>
      <w:r w:rsidR="008376CE" w:rsidRPr="00163BB5">
        <w:rPr>
          <w:rFonts w:ascii="Times New Roman" w:hAnsi="Times New Roman" w:cs="Times New Roman"/>
          <w:color w:val="000000" w:themeColor="text1"/>
        </w:rPr>
        <w:t>critical industry for the development of new technologies and innovations</w:t>
      </w:r>
      <w:r w:rsidR="00C51804" w:rsidRPr="00163BB5">
        <w:rPr>
          <w:rFonts w:ascii="Times New Roman" w:hAnsi="Times New Roman" w:cs="Times New Roman"/>
          <w:color w:val="000000" w:themeColor="text1"/>
        </w:rPr>
        <w:t xml:space="preserve"> that countries want to produce domestically, the industry itself became </w:t>
      </w:r>
      <w:r w:rsidR="0002114E" w:rsidRPr="00163BB5">
        <w:rPr>
          <w:rFonts w:ascii="Times New Roman" w:hAnsi="Times New Roman" w:cs="Times New Roman"/>
          <w:color w:val="000000" w:themeColor="text1"/>
        </w:rPr>
        <w:t xml:space="preserve">more exposed to the </w:t>
      </w:r>
      <w:r w:rsidR="006E2CE3" w:rsidRPr="00163BB5">
        <w:rPr>
          <w:rFonts w:ascii="Times New Roman" w:hAnsi="Times New Roman" w:cs="Times New Roman"/>
          <w:color w:val="000000" w:themeColor="text1"/>
        </w:rPr>
        <w:t>possibility for</w:t>
      </w:r>
      <w:r w:rsidR="0002114E" w:rsidRPr="00163BB5">
        <w:rPr>
          <w:rFonts w:ascii="Times New Roman" w:hAnsi="Times New Roman" w:cs="Times New Roman"/>
          <w:color w:val="000000" w:themeColor="text1"/>
        </w:rPr>
        <w:t xml:space="preserve"> geopoli</w:t>
      </w:r>
      <w:r w:rsidR="006E2CE3" w:rsidRPr="00163BB5">
        <w:rPr>
          <w:rFonts w:ascii="Times New Roman" w:hAnsi="Times New Roman" w:cs="Times New Roman"/>
          <w:color w:val="000000" w:themeColor="text1"/>
        </w:rPr>
        <w:t>ti</w:t>
      </w:r>
      <w:r w:rsidR="0002114E" w:rsidRPr="00163BB5">
        <w:rPr>
          <w:rFonts w:ascii="Times New Roman" w:hAnsi="Times New Roman" w:cs="Times New Roman"/>
          <w:color w:val="000000" w:themeColor="text1"/>
        </w:rPr>
        <w:t xml:space="preserve">cal </w:t>
      </w:r>
      <w:r w:rsidR="006E2CE3" w:rsidRPr="00163BB5">
        <w:rPr>
          <w:rFonts w:ascii="Times New Roman" w:hAnsi="Times New Roman" w:cs="Times New Roman"/>
          <w:color w:val="000000" w:themeColor="text1"/>
        </w:rPr>
        <w:t>tensions</w:t>
      </w:r>
      <w:r w:rsidR="0002114E" w:rsidRPr="00163BB5">
        <w:rPr>
          <w:rFonts w:ascii="Times New Roman" w:hAnsi="Times New Roman" w:cs="Times New Roman"/>
          <w:color w:val="000000" w:themeColor="text1"/>
        </w:rPr>
        <w:t xml:space="preserve"> or escalations</w:t>
      </w:r>
      <w:r w:rsidR="006E2CE3" w:rsidRPr="00163BB5">
        <w:rPr>
          <w:rFonts w:ascii="Times New Roman" w:hAnsi="Times New Roman" w:cs="Times New Roman"/>
          <w:color w:val="000000" w:themeColor="text1"/>
        </w:rPr>
        <w:t xml:space="preserve"> </w:t>
      </w:r>
      <w:r w:rsidR="0037533C" w:rsidRPr="00163BB5">
        <w:rPr>
          <w:rFonts w:ascii="Times New Roman" w:hAnsi="Times New Roman" w:cs="Times New Roman"/>
        </w:rPr>
        <w:t>(Hyatt et al., 2024).</w:t>
      </w:r>
    </w:p>
    <w:p w14:paraId="0C693C94" w14:textId="6DBE5491" w:rsidR="015A71C8" w:rsidRPr="00A6236F" w:rsidRDefault="015A71C8" w:rsidP="00710F95">
      <w:pPr>
        <w:spacing w:line="360" w:lineRule="auto"/>
        <w:ind w:firstLine="198"/>
        <w:jc w:val="both"/>
        <w:rPr>
          <w:rFonts w:ascii="Times New Roman" w:hAnsi="Times New Roman" w:cs="Times New Roman"/>
        </w:rPr>
      </w:pPr>
      <w:r w:rsidRPr="00163BB5">
        <w:rPr>
          <w:rFonts w:ascii="Times New Roman" w:hAnsi="Times New Roman" w:cs="Times New Roman"/>
          <w:color w:val="000000" w:themeColor="text1"/>
        </w:rPr>
        <w:t xml:space="preserve">An example of geopolitical risk is the invasion of Ukraine by Russia in 2022, which made companies like McDonald’s, Ikea and BP exit the Russian markets due to sanctions and public pressure. Hung (2024) was able to determine bidirectional </w:t>
      </w:r>
      <w:r w:rsidR="002559D6" w:rsidRPr="00163BB5">
        <w:rPr>
          <w:rFonts w:ascii="Times New Roman" w:hAnsi="Times New Roman" w:cs="Times New Roman"/>
          <w:color w:val="000000" w:themeColor="text1"/>
        </w:rPr>
        <w:t>G</w:t>
      </w:r>
      <w:r w:rsidRPr="00163BB5">
        <w:rPr>
          <w:rFonts w:ascii="Times New Roman" w:hAnsi="Times New Roman" w:cs="Times New Roman"/>
          <w:color w:val="000000" w:themeColor="text1"/>
        </w:rPr>
        <w:t>ranger causal relationships between major exchanges during the Covid-19 pandemic and the beginning of the Russia-Ukraine war</w:t>
      </w:r>
      <w:r w:rsidR="001E31CA" w:rsidRPr="00163BB5">
        <w:rPr>
          <w:rFonts w:ascii="Times New Roman" w:hAnsi="Times New Roman" w:cs="Times New Roman"/>
          <w:color w:val="000000" w:themeColor="text1"/>
        </w:rPr>
        <w:t>, this supports the idea that is geopoli</w:t>
      </w:r>
      <w:r w:rsidR="00D46DA7" w:rsidRPr="00163BB5">
        <w:rPr>
          <w:rFonts w:ascii="Times New Roman" w:hAnsi="Times New Roman" w:cs="Times New Roman"/>
          <w:color w:val="000000" w:themeColor="text1"/>
        </w:rPr>
        <w:t>ti</w:t>
      </w:r>
      <w:r w:rsidR="001E31CA" w:rsidRPr="00163BB5">
        <w:rPr>
          <w:rFonts w:ascii="Times New Roman" w:hAnsi="Times New Roman" w:cs="Times New Roman"/>
          <w:color w:val="000000" w:themeColor="text1"/>
        </w:rPr>
        <w:t>cal shocks do cause market volatility and instability</w:t>
      </w:r>
      <w:r w:rsidR="00D46DA7" w:rsidRPr="00163BB5">
        <w:rPr>
          <w:rFonts w:ascii="Times New Roman" w:hAnsi="Times New Roman" w:cs="Times New Roman"/>
          <w:color w:val="000000" w:themeColor="text1"/>
        </w:rPr>
        <w:t xml:space="preserve">. </w:t>
      </w:r>
      <w:r w:rsidRPr="00163BB5">
        <w:rPr>
          <w:rFonts w:ascii="Times New Roman" w:hAnsi="Times New Roman" w:cs="Times New Roman"/>
          <w:color w:val="000000" w:themeColor="text1"/>
        </w:rPr>
        <w:t xml:space="preserve">In </w:t>
      </w:r>
      <w:r w:rsidR="00D46DA7" w:rsidRPr="00163BB5">
        <w:rPr>
          <w:rFonts w:ascii="Times New Roman" w:hAnsi="Times New Roman" w:cs="Times New Roman"/>
          <w:color w:val="000000" w:themeColor="text1"/>
        </w:rPr>
        <w:t>addition</w:t>
      </w:r>
      <w:r w:rsidRPr="00163BB5">
        <w:rPr>
          <w:rFonts w:ascii="Times New Roman" w:hAnsi="Times New Roman" w:cs="Times New Roman"/>
          <w:color w:val="000000" w:themeColor="text1"/>
        </w:rPr>
        <w:t xml:space="preserve">, the </w:t>
      </w:r>
      <w:r w:rsidR="006A16BD" w:rsidRPr="00163BB5">
        <w:rPr>
          <w:rFonts w:ascii="Times New Roman" w:hAnsi="Times New Roman" w:cs="Times New Roman"/>
          <w:color w:val="000000" w:themeColor="text1"/>
        </w:rPr>
        <w:t>European Central Bank (</w:t>
      </w:r>
      <w:r w:rsidRPr="00163BB5">
        <w:rPr>
          <w:rFonts w:ascii="Times New Roman" w:hAnsi="Times New Roman" w:cs="Times New Roman"/>
          <w:color w:val="000000" w:themeColor="text1"/>
        </w:rPr>
        <w:t>ECB</w:t>
      </w:r>
      <w:r w:rsidR="006A16BD" w:rsidRPr="00163BB5">
        <w:rPr>
          <w:rFonts w:ascii="Times New Roman" w:hAnsi="Times New Roman" w:cs="Times New Roman"/>
          <w:color w:val="000000" w:themeColor="text1"/>
        </w:rPr>
        <w:t xml:space="preserve">) </w:t>
      </w:r>
      <w:r w:rsidRPr="00163BB5">
        <w:rPr>
          <w:rFonts w:ascii="Times New Roman" w:hAnsi="Times New Roman" w:cs="Times New Roman"/>
          <w:color w:val="000000" w:themeColor="text1"/>
        </w:rPr>
        <w:t>also published a</w:t>
      </w:r>
      <w:r w:rsidR="006A16BD" w:rsidRPr="00163BB5">
        <w:rPr>
          <w:rFonts w:ascii="Times New Roman" w:hAnsi="Times New Roman" w:cs="Times New Roman"/>
          <w:color w:val="000000" w:themeColor="text1"/>
        </w:rPr>
        <w:t xml:space="preserve"> paper</w:t>
      </w:r>
      <w:r w:rsidRPr="00163BB5">
        <w:rPr>
          <w:rFonts w:ascii="Times New Roman" w:hAnsi="Times New Roman" w:cs="Times New Roman"/>
          <w:color w:val="000000" w:themeColor="text1"/>
        </w:rPr>
        <w:t xml:space="preserve"> on geopolitical fragmentation and how increased tensions have pushed “allies” to hedge in each other’s currencies (European Central Bank, 2023). </w:t>
      </w:r>
    </w:p>
    <w:p w14:paraId="7D350029" w14:textId="4AD63B6F" w:rsidR="007C27AD" w:rsidRPr="00163BB5" w:rsidRDefault="015A71C8" w:rsidP="00710F95">
      <w:pPr>
        <w:spacing w:line="360" w:lineRule="auto"/>
        <w:ind w:firstLine="198"/>
        <w:jc w:val="both"/>
        <w:rPr>
          <w:rFonts w:ascii="Times New Roman" w:hAnsi="Times New Roman" w:cs="Times New Roman"/>
          <w:color w:val="000000" w:themeColor="text1"/>
        </w:rPr>
      </w:pPr>
      <w:r w:rsidRPr="00163BB5">
        <w:rPr>
          <w:rFonts w:ascii="Times New Roman" w:hAnsi="Times New Roman" w:cs="Times New Roman"/>
          <w:color w:val="000000" w:themeColor="text1"/>
        </w:rPr>
        <w:t xml:space="preserve">TSMC is in Taiwan, which is </w:t>
      </w:r>
      <w:r w:rsidR="006A4E23" w:rsidRPr="00163BB5">
        <w:rPr>
          <w:rFonts w:ascii="Times New Roman" w:hAnsi="Times New Roman" w:cs="Times New Roman"/>
          <w:color w:val="000000" w:themeColor="text1"/>
        </w:rPr>
        <w:t xml:space="preserve">a </w:t>
      </w:r>
      <w:r w:rsidR="00266A7C" w:rsidRPr="00163BB5">
        <w:rPr>
          <w:rFonts w:ascii="Times New Roman" w:hAnsi="Times New Roman" w:cs="Times New Roman"/>
          <w:color w:val="000000" w:themeColor="text1"/>
        </w:rPr>
        <w:t xml:space="preserve">nation that remains </w:t>
      </w:r>
      <w:r w:rsidR="006A4E23" w:rsidRPr="00163BB5">
        <w:rPr>
          <w:rFonts w:ascii="Times New Roman" w:hAnsi="Times New Roman" w:cs="Times New Roman"/>
          <w:color w:val="000000" w:themeColor="text1"/>
        </w:rPr>
        <w:t xml:space="preserve">unrecognized by many major </w:t>
      </w:r>
      <w:r w:rsidR="00DE0339" w:rsidRPr="00163BB5">
        <w:rPr>
          <w:rFonts w:ascii="Times New Roman" w:hAnsi="Times New Roman" w:cs="Times New Roman"/>
          <w:color w:val="000000" w:themeColor="text1"/>
        </w:rPr>
        <w:t xml:space="preserve">countries </w:t>
      </w:r>
      <w:r w:rsidR="00B339DF" w:rsidRPr="00163BB5">
        <w:rPr>
          <w:rFonts w:ascii="Times New Roman" w:hAnsi="Times New Roman" w:cs="Times New Roman"/>
          <w:color w:val="000000" w:themeColor="text1"/>
        </w:rPr>
        <w:t xml:space="preserve">around the </w:t>
      </w:r>
      <w:r w:rsidR="00DE0339" w:rsidRPr="00163BB5">
        <w:rPr>
          <w:rFonts w:ascii="Times New Roman" w:hAnsi="Times New Roman" w:cs="Times New Roman"/>
          <w:color w:val="000000" w:themeColor="text1"/>
        </w:rPr>
        <w:t>world, for example one of these countries is China</w:t>
      </w:r>
      <w:r w:rsidRPr="00163BB5">
        <w:rPr>
          <w:rFonts w:ascii="Times New Roman" w:hAnsi="Times New Roman" w:cs="Times New Roman"/>
          <w:color w:val="000000" w:themeColor="text1"/>
        </w:rPr>
        <w:t xml:space="preserve">. </w:t>
      </w:r>
      <w:r w:rsidR="007B7111" w:rsidRPr="00163BB5">
        <w:rPr>
          <w:rFonts w:ascii="Times New Roman" w:hAnsi="Times New Roman" w:cs="Times New Roman"/>
          <w:color w:val="000000" w:themeColor="text1"/>
        </w:rPr>
        <w:t>This can be further emphasized by the fact that i</w:t>
      </w:r>
      <w:r w:rsidRPr="00163BB5">
        <w:rPr>
          <w:rFonts w:ascii="Times New Roman" w:hAnsi="Times New Roman" w:cs="Times New Roman"/>
          <w:color w:val="000000" w:themeColor="text1"/>
        </w:rPr>
        <w:t xml:space="preserve">n the financial statements for 2024, Taiwan is mentioned to be in the Republic of China by the independent auditor (Deloitte, 2025). </w:t>
      </w:r>
      <w:r w:rsidR="007B7111" w:rsidRPr="00163BB5">
        <w:rPr>
          <w:rFonts w:ascii="Times New Roman" w:hAnsi="Times New Roman" w:cs="Times New Roman"/>
          <w:color w:val="000000" w:themeColor="text1"/>
        </w:rPr>
        <w:t xml:space="preserve">Furthermore, China still has the so called “One China Policy”, which </w:t>
      </w:r>
      <w:r w:rsidR="007E32CA" w:rsidRPr="00163BB5">
        <w:rPr>
          <w:rFonts w:ascii="Times New Roman" w:hAnsi="Times New Roman" w:cs="Times New Roman"/>
          <w:color w:val="000000" w:themeColor="text1"/>
        </w:rPr>
        <w:t>means that China considers Taiwan to be part of the country</w:t>
      </w:r>
      <w:r w:rsidR="00F979A6" w:rsidRPr="00163BB5">
        <w:rPr>
          <w:rFonts w:ascii="Times New Roman" w:hAnsi="Times New Roman" w:cs="Times New Roman"/>
        </w:rPr>
        <w:t xml:space="preserve"> (</w:t>
      </w:r>
      <w:r w:rsidR="00F979A6" w:rsidRPr="00163BB5">
        <w:rPr>
          <w:rFonts w:ascii="Times New Roman" w:hAnsi="Times New Roman" w:cs="Times New Roman"/>
        </w:rPr>
        <w:t>Bush, 2017)</w:t>
      </w:r>
      <w:r w:rsidR="00244914" w:rsidRPr="00163BB5">
        <w:rPr>
          <w:rFonts w:ascii="Times New Roman" w:hAnsi="Times New Roman" w:cs="Times New Roman"/>
          <w:color w:val="000000" w:themeColor="text1"/>
        </w:rPr>
        <w:t xml:space="preserve">. However, since Taiwan became a strategically important region due to its </w:t>
      </w:r>
      <w:r w:rsidR="00401E40" w:rsidRPr="00163BB5">
        <w:rPr>
          <w:rFonts w:ascii="Times New Roman" w:hAnsi="Times New Roman" w:cs="Times New Roman"/>
          <w:color w:val="000000" w:themeColor="text1"/>
        </w:rPr>
        <w:t xml:space="preserve">significance in the production of semiconductors globally, the USA increasingly views Taiwan as </w:t>
      </w:r>
      <w:r w:rsidR="001A62B9" w:rsidRPr="00163BB5">
        <w:rPr>
          <w:rFonts w:ascii="Times New Roman" w:hAnsi="Times New Roman" w:cs="Times New Roman"/>
          <w:color w:val="000000" w:themeColor="text1"/>
        </w:rPr>
        <w:t>a</w:t>
      </w:r>
      <w:r w:rsidR="002278F7" w:rsidRPr="00163BB5">
        <w:rPr>
          <w:rFonts w:ascii="Times New Roman" w:hAnsi="Times New Roman" w:cs="Times New Roman"/>
          <w:color w:val="000000" w:themeColor="text1"/>
        </w:rPr>
        <w:t xml:space="preserve"> key economic partner</w:t>
      </w:r>
      <w:r w:rsidR="00072FC1" w:rsidRPr="00163BB5">
        <w:rPr>
          <w:rFonts w:ascii="Times New Roman" w:hAnsi="Times New Roman" w:cs="Times New Roman"/>
          <w:color w:val="000000" w:themeColor="text1"/>
        </w:rPr>
        <w:t xml:space="preserve">. This creates the potential for a </w:t>
      </w:r>
      <w:r w:rsidR="00CA1926" w:rsidRPr="00163BB5">
        <w:rPr>
          <w:rFonts w:ascii="Times New Roman" w:hAnsi="Times New Roman" w:cs="Times New Roman"/>
          <w:color w:val="000000" w:themeColor="text1"/>
        </w:rPr>
        <w:t>military escalation in the region</w:t>
      </w:r>
      <w:r w:rsidR="00E17E34" w:rsidRPr="00163BB5">
        <w:rPr>
          <w:rFonts w:ascii="Times New Roman" w:hAnsi="Times New Roman" w:cs="Times New Roman"/>
          <w:color w:val="000000" w:themeColor="text1"/>
        </w:rPr>
        <w:t xml:space="preserve">, which </w:t>
      </w:r>
      <w:r w:rsidR="00846C6B" w:rsidRPr="00163BB5">
        <w:rPr>
          <w:rFonts w:ascii="Times New Roman" w:hAnsi="Times New Roman" w:cs="Times New Roman"/>
          <w:color w:val="000000" w:themeColor="text1"/>
        </w:rPr>
        <w:t xml:space="preserve">is a massive supply chain vulnerability, caused by this geopolitical exposure. </w:t>
      </w:r>
      <w:r w:rsidR="00CA1926" w:rsidRPr="00163BB5">
        <w:rPr>
          <w:rFonts w:ascii="Times New Roman" w:hAnsi="Times New Roman" w:cs="Times New Roman"/>
          <w:color w:val="000000" w:themeColor="text1"/>
        </w:rPr>
        <w:t xml:space="preserve">In other words, </w:t>
      </w:r>
      <w:r w:rsidR="00CA1926" w:rsidRPr="00163BB5">
        <w:rPr>
          <w:rFonts w:ascii="Times New Roman" w:hAnsi="Times New Roman" w:cs="Times New Roman"/>
          <w:color w:val="000000" w:themeColor="text1"/>
        </w:rPr>
        <w:t xml:space="preserve">the risk for military escalation and war with China is a possible scenario that investors take into </w:t>
      </w:r>
      <w:r w:rsidR="00F979A6" w:rsidRPr="00163BB5">
        <w:rPr>
          <w:rFonts w:ascii="Times New Roman" w:hAnsi="Times New Roman" w:cs="Times New Roman"/>
          <w:color w:val="000000" w:themeColor="text1"/>
        </w:rPr>
        <w:t>consideration,</w:t>
      </w:r>
      <w:r w:rsidR="00CA1926" w:rsidRPr="00163BB5">
        <w:rPr>
          <w:rFonts w:ascii="Times New Roman" w:hAnsi="Times New Roman" w:cs="Times New Roman"/>
          <w:color w:val="000000" w:themeColor="text1"/>
        </w:rPr>
        <w:t xml:space="preserve"> and </w:t>
      </w:r>
      <w:r w:rsidR="00E17E34" w:rsidRPr="00163BB5">
        <w:rPr>
          <w:rFonts w:ascii="Times New Roman" w:hAnsi="Times New Roman" w:cs="Times New Roman"/>
          <w:color w:val="000000" w:themeColor="text1"/>
        </w:rPr>
        <w:t>they consider this a major long-term risk for the future of TSMC</w:t>
      </w:r>
      <w:r w:rsidR="00846C6B" w:rsidRPr="00163BB5">
        <w:rPr>
          <w:rFonts w:ascii="Times New Roman" w:hAnsi="Times New Roman" w:cs="Times New Roman"/>
          <w:color w:val="000000" w:themeColor="text1"/>
        </w:rPr>
        <w:t xml:space="preserve"> </w:t>
      </w:r>
      <w:r w:rsidR="00530A45" w:rsidRPr="00163BB5">
        <w:rPr>
          <w:rFonts w:ascii="Times New Roman" w:hAnsi="Times New Roman" w:cs="Times New Roman"/>
        </w:rPr>
        <w:t>(Liu et al., 2025)</w:t>
      </w:r>
      <w:r w:rsidR="00CA1926" w:rsidRPr="00163BB5">
        <w:rPr>
          <w:rFonts w:ascii="Times New Roman" w:hAnsi="Times New Roman" w:cs="Times New Roman"/>
          <w:color w:val="000000" w:themeColor="text1"/>
        </w:rPr>
        <w:t>.</w:t>
      </w:r>
    </w:p>
    <w:p w14:paraId="029BDE88" w14:textId="1036A4E3" w:rsidR="00A36B13" w:rsidRPr="00710F95" w:rsidRDefault="007C27AD" w:rsidP="00710F95">
      <w:pPr>
        <w:spacing w:line="360" w:lineRule="auto"/>
        <w:ind w:firstLine="198"/>
        <w:jc w:val="both"/>
        <w:rPr>
          <w:rFonts w:ascii="Times New Roman" w:hAnsi="Times New Roman" w:cs="Times New Roman"/>
        </w:rPr>
      </w:pPr>
      <w:r w:rsidRPr="00163BB5">
        <w:rPr>
          <w:rFonts w:ascii="Times New Roman" w:hAnsi="Times New Roman" w:cs="Times New Roman"/>
          <w:color w:val="000000" w:themeColor="text1"/>
        </w:rPr>
        <w:t xml:space="preserve">Multinational corporations usually handle geopolitical risks </w:t>
      </w:r>
      <w:r w:rsidR="00263268" w:rsidRPr="00163BB5">
        <w:rPr>
          <w:rFonts w:ascii="Times New Roman" w:hAnsi="Times New Roman" w:cs="Times New Roman"/>
          <w:color w:val="000000" w:themeColor="text1"/>
        </w:rPr>
        <w:t>with</w:t>
      </w:r>
      <w:r w:rsidRPr="00163BB5">
        <w:rPr>
          <w:rFonts w:ascii="Times New Roman" w:hAnsi="Times New Roman" w:cs="Times New Roman"/>
          <w:color w:val="000000" w:themeColor="text1"/>
        </w:rPr>
        <w:t xml:space="preserve"> a diverse set of hedging tools. The most used strategy is diversification. This strategy is used to mitigate risks that are associated with specific regions. Diversification involves spreading the supply chain, investments, and even production of plants or offices across different locations in multiple countries and regions. Corporations can also choose to build local </w:t>
      </w:r>
      <w:r w:rsidRPr="00163BB5">
        <w:rPr>
          <w:rFonts w:ascii="Times New Roman" w:hAnsi="Times New Roman" w:cs="Times New Roman"/>
          <w:color w:val="000000" w:themeColor="text1"/>
        </w:rPr>
        <w:lastRenderedPageBreak/>
        <w:t xml:space="preserve">relationships to mitigate geopolitical risks. Moreover, strong local partnerships with governments can ensure that these countries will remain cooperative even in a potential economic crisis or recession. </w:t>
      </w:r>
      <w:r w:rsidRPr="00163BB5">
        <w:rPr>
          <w:rFonts w:ascii="Times New Roman" w:hAnsi="Times New Roman" w:cs="Times New Roman"/>
        </w:rPr>
        <w:t>Using diversification strategies can strengthen supply chain resilience and therefore can positively impact a company’s overall economic performance (Ivanov &amp; Dolgui, 2020).</w:t>
      </w:r>
    </w:p>
    <w:p w14:paraId="30B4C898" w14:textId="79B08913" w:rsidR="00A36B13" w:rsidRPr="00163BB5" w:rsidRDefault="00464A55" w:rsidP="00710F95">
      <w:pPr>
        <w:spacing w:line="360" w:lineRule="auto"/>
        <w:ind w:firstLine="198"/>
        <w:jc w:val="both"/>
        <w:rPr>
          <w:rFonts w:ascii="Times New Roman" w:hAnsi="Times New Roman" w:cs="Times New Roman"/>
          <w:color w:val="000000" w:themeColor="text1"/>
        </w:rPr>
      </w:pPr>
      <w:r w:rsidRPr="00163BB5">
        <w:rPr>
          <w:rFonts w:ascii="Times New Roman" w:hAnsi="Times New Roman" w:cs="Times New Roman"/>
          <w:color w:val="000000" w:themeColor="text1"/>
        </w:rPr>
        <w:t>Moreover</w:t>
      </w:r>
      <w:r w:rsidR="00A36B13" w:rsidRPr="00163BB5">
        <w:rPr>
          <w:rFonts w:ascii="Times New Roman" w:hAnsi="Times New Roman" w:cs="Times New Roman"/>
          <w:color w:val="000000" w:themeColor="text1"/>
        </w:rPr>
        <w:t xml:space="preserve">, </w:t>
      </w:r>
      <w:r w:rsidRPr="00163BB5">
        <w:rPr>
          <w:rFonts w:ascii="Times New Roman" w:hAnsi="Times New Roman" w:cs="Times New Roman"/>
          <w:color w:val="000000" w:themeColor="text1"/>
        </w:rPr>
        <w:t>another one of these tools are</w:t>
      </w:r>
      <w:r w:rsidR="00A36B13" w:rsidRPr="00163BB5">
        <w:rPr>
          <w:rFonts w:ascii="Times New Roman" w:hAnsi="Times New Roman" w:cs="Times New Roman"/>
          <w:color w:val="000000" w:themeColor="text1"/>
        </w:rPr>
        <w:t xml:space="preserve"> financial hedging mechanisms, </w:t>
      </w:r>
      <w:r w:rsidRPr="00163BB5">
        <w:rPr>
          <w:rFonts w:ascii="Times New Roman" w:hAnsi="Times New Roman" w:cs="Times New Roman"/>
          <w:color w:val="000000" w:themeColor="text1"/>
        </w:rPr>
        <w:t>such as buying</w:t>
      </w:r>
      <w:r w:rsidR="00A36B13" w:rsidRPr="00163BB5">
        <w:rPr>
          <w:rFonts w:ascii="Times New Roman" w:hAnsi="Times New Roman" w:cs="Times New Roman"/>
          <w:color w:val="000000" w:themeColor="text1"/>
        </w:rPr>
        <w:t xml:space="preserve"> long-term energy contracts or management tools for </w:t>
      </w:r>
      <w:r w:rsidRPr="00163BB5">
        <w:rPr>
          <w:rFonts w:ascii="Times New Roman" w:hAnsi="Times New Roman" w:cs="Times New Roman"/>
          <w:color w:val="000000" w:themeColor="text1"/>
        </w:rPr>
        <w:t>hedging against sudden changes in commodity prices</w:t>
      </w:r>
      <w:r w:rsidR="00A36B13" w:rsidRPr="00163BB5">
        <w:rPr>
          <w:rFonts w:ascii="Times New Roman" w:hAnsi="Times New Roman" w:cs="Times New Roman"/>
          <w:color w:val="000000" w:themeColor="text1"/>
        </w:rPr>
        <w:t xml:space="preserve"> (Tang &amp; Musa, 2011).</w:t>
      </w:r>
      <w:r w:rsidR="001120FF">
        <w:rPr>
          <w:rFonts w:ascii="Times New Roman" w:hAnsi="Times New Roman" w:cs="Times New Roman"/>
          <w:color w:val="000000" w:themeColor="text1"/>
        </w:rPr>
        <w:t xml:space="preserve"> </w:t>
      </w:r>
      <w:r w:rsidR="00D84A82" w:rsidRPr="00163BB5">
        <w:rPr>
          <w:rFonts w:ascii="Times New Roman" w:hAnsi="Times New Roman" w:cs="Times New Roman"/>
          <w:color w:val="000000" w:themeColor="text1"/>
        </w:rPr>
        <w:t xml:space="preserve">A </w:t>
      </w:r>
      <w:r w:rsidR="00A36B13" w:rsidRPr="00163BB5">
        <w:rPr>
          <w:rFonts w:ascii="Times New Roman" w:hAnsi="Times New Roman" w:cs="Times New Roman"/>
          <w:color w:val="000000" w:themeColor="text1"/>
        </w:rPr>
        <w:t>strategy</w:t>
      </w:r>
      <w:r w:rsidR="00D84A82" w:rsidRPr="00163BB5">
        <w:rPr>
          <w:rFonts w:ascii="Times New Roman" w:hAnsi="Times New Roman" w:cs="Times New Roman"/>
          <w:color w:val="000000" w:themeColor="text1"/>
        </w:rPr>
        <w:t xml:space="preserve"> that was already mentioned </w:t>
      </w:r>
      <w:r w:rsidR="002E1AA0" w:rsidRPr="00163BB5">
        <w:rPr>
          <w:rFonts w:ascii="Times New Roman" w:hAnsi="Times New Roman" w:cs="Times New Roman"/>
          <w:color w:val="000000" w:themeColor="text1"/>
        </w:rPr>
        <w:t>in the above sections</w:t>
      </w:r>
      <w:r w:rsidR="00A36B13" w:rsidRPr="00163BB5">
        <w:rPr>
          <w:rFonts w:ascii="Times New Roman" w:hAnsi="Times New Roman" w:cs="Times New Roman"/>
          <w:color w:val="000000" w:themeColor="text1"/>
        </w:rPr>
        <w:t xml:space="preserve"> is operational hedging, which involves keeping key supply chain resilience concepts in mind. It includes geographic diversification of production, supplier diversification, and securing access to critical inputs (Ivanov &amp; Dolgui, 2020</w:t>
      </w:r>
      <w:r w:rsidR="000E70E2" w:rsidRPr="00163BB5">
        <w:rPr>
          <w:rFonts w:ascii="Times New Roman" w:hAnsi="Times New Roman" w:cs="Times New Roman"/>
          <w:color w:val="000000" w:themeColor="text1"/>
        </w:rPr>
        <w:t>; Liu et al, 2025</w:t>
      </w:r>
      <w:r w:rsidR="00A36B13" w:rsidRPr="00163BB5">
        <w:rPr>
          <w:rFonts w:ascii="Times New Roman" w:hAnsi="Times New Roman" w:cs="Times New Roman"/>
          <w:color w:val="000000" w:themeColor="text1"/>
        </w:rPr>
        <w:t xml:space="preserve">). </w:t>
      </w:r>
    </w:p>
    <w:p w14:paraId="56AE5251" w14:textId="77777777" w:rsidR="00AD574C" w:rsidRPr="00A12137" w:rsidRDefault="00AD574C" w:rsidP="00A36B13">
      <w:pPr>
        <w:jc w:val="both"/>
        <w:rPr>
          <w:rFonts w:ascii="Times New Roman" w:hAnsi="Times New Roman" w:cs="Times New Roman"/>
          <w:color w:val="000000" w:themeColor="text1"/>
        </w:rPr>
      </w:pPr>
    </w:p>
    <w:p w14:paraId="22804A1C" w14:textId="31E1DB53" w:rsidR="00A36B13" w:rsidRPr="00A12137" w:rsidRDefault="00A36B13" w:rsidP="00A36B13">
      <w:pPr>
        <w:jc w:val="both"/>
        <w:rPr>
          <w:rFonts w:ascii="Times New Roman" w:hAnsi="Times New Roman" w:cs="Times New Roman"/>
          <w:color w:val="000000" w:themeColor="text1"/>
        </w:rPr>
      </w:pPr>
    </w:p>
    <w:p w14:paraId="706AFDEE" w14:textId="77777777" w:rsidR="00A36B13" w:rsidRPr="00A12137" w:rsidRDefault="00A36B13" w:rsidP="64765153">
      <w:pPr>
        <w:jc w:val="both"/>
        <w:rPr>
          <w:rFonts w:ascii="Times New Roman" w:hAnsi="Times New Roman" w:cs="Times New Roman"/>
          <w:color w:val="000000" w:themeColor="text1"/>
        </w:rPr>
      </w:pPr>
    </w:p>
    <w:p w14:paraId="0F6BCF1F" w14:textId="2298BC7B" w:rsidR="1CA46CE4" w:rsidRPr="00A12137" w:rsidRDefault="1CA46CE4" w:rsidP="1CA46CE4">
      <w:pPr>
        <w:jc w:val="both"/>
        <w:rPr>
          <w:rFonts w:ascii="Times New Roman" w:hAnsi="Times New Roman" w:cs="Times New Roman"/>
          <w:color w:val="000000" w:themeColor="text1"/>
        </w:rPr>
      </w:pPr>
    </w:p>
    <w:p w14:paraId="01E3092F" w14:textId="4009DD5F" w:rsidR="1CA46CE4" w:rsidRPr="00A12137" w:rsidRDefault="1CA46CE4">
      <w:pPr>
        <w:rPr>
          <w:rFonts w:ascii="Times New Roman" w:hAnsi="Times New Roman" w:cs="Times New Roman"/>
        </w:rPr>
      </w:pPr>
      <w:r w:rsidRPr="00A12137">
        <w:rPr>
          <w:rFonts w:ascii="Times New Roman" w:hAnsi="Times New Roman" w:cs="Times New Roman"/>
        </w:rPr>
        <w:br w:type="page"/>
      </w:r>
    </w:p>
    <w:p w14:paraId="1D7B2285" w14:textId="1AB78E75" w:rsidR="00EB6770" w:rsidRPr="00A12137" w:rsidRDefault="14DC0C33" w:rsidP="00710F95">
      <w:pPr>
        <w:pStyle w:val="Heading1"/>
        <w:spacing w:line="360" w:lineRule="auto"/>
        <w:rPr>
          <w:rFonts w:ascii="Times New Roman" w:hAnsi="Times New Roman" w:cs="Times New Roman"/>
        </w:rPr>
      </w:pPr>
      <w:bookmarkStart w:id="7" w:name="_Toc230603269"/>
      <w:r w:rsidRPr="00A12137">
        <w:rPr>
          <w:rFonts w:ascii="Times New Roman" w:hAnsi="Times New Roman" w:cs="Times New Roman"/>
        </w:rPr>
        <w:lastRenderedPageBreak/>
        <w:t>3.</w:t>
      </w:r>
      <w:r w:rsidR="00E05180">
        <w:rPr>
          <w:rFonts w:ascii="Times New Roman" w:hAnsi="Times New Roman" w:cs="Times New Roman"/>
        </w:rPr>
        <w:t xml:space="preserve"> TSMC’s</w:t>
      </w:r>
      <w:r w:rsidR="00EB0693" w:rsidRPr="00A12137">
        <w:rPr>
          <w:rFonts w:ascii="Times New Roman" w:hAnsi="Times New Roman" w:cs="Times New Roman"/>
        </w:rPr>
        <w:t xml:space="preserve"> Financial Exposure and Risk Management</w:t>
      </w:r>
      <w:bookmarkEnd w:id="7"/>
    </w:p>
    <w:p w14:paraId="1CD82ED8" w14:textId="349EDA72" w:rsidR="00FA5D2E" w:rsidRPr="00A12137" w:rsidRDefault="00EB6770" w:rsidP="00E05180">
      <w:pPr>
        <w:pStyle w:val="Heading2"/>
        <w:spacing w:line="360" w:lineRule="auto"/>
        <w:rPr>
          <w:rFonts w:ascii="Times New Roman" w:hAnsi="Times New Roman" w:cs="Times New Roman"/>
        </w:rPr>
      </w:pPr>
      <w:bookmarkStart w:id="8" w:name="_Toc230603270"/>
      <w:r w:rsidRPr="00A12137">
        <w:rPr>
          <w:rFonts w:ascii="Times New Roman" w:hAnsi="Times New Roman" w:cs="Times New Roman"/>
        </w:rPr>
        <w:t xml:space="preserve">3.1. </w:t>
      </w:r>
      <w:r w:rsidR="006B209B" w:rsidRPr="00A12137">
        <w:rPr>
          <w:rFonts w:ascii="Times New Roman" w:hAnsi="Times New Roman" w:cs="Times New Roman"/>
        </w:rPr>
        <w:t>Overview of TSMC’s Financial Position</w:t>
      </w:r>
      <w:bookmarkEnd w:id="8"/>
    </w:p>
    <w:p w14:paraId="33ED642B" w14:textId="6AED5258" w:rsidR="00FF4353" w:rsidRPr="00A12137" w:rsidRDefault="001812C9" w:rsidP="004C52F8">
      <w:pPr>
        <w:spacing w:line="360" w:lineRule="auto"/>
        <w:ind w:firstLine="198"/>
        <w:jc w:val="both"/>
        <w:rPr>
          <w:rFonts w:ascii="Times New Roman" w:hAnsi="Times New Roman" w:cs="Times New Roman"/>
          <w:color w:val="000000" w:themeColor="text1"/>
        </w:rPr>
      </w:pPr>
      <w:r w:rsidRPr="00A12137">
        <w:rPr>
          <w:rFonts w:ascii="Times New Roman" w:hAnsi="Times New Roman" w:cs="Times New Roman"/>
        </w:rPr>
        <w:t>T</w:t>
      </w:r>
      <w:r w:rsidR="00BC612F" w:rsidRPr="00A12137">
        <w:rPr>
          <w:rFonts w:ascii="Times New Roman" w:hAnsi="Times New Roman" w:cs="Times New Roman"/>
        </w:rPr>
        <w:t xml:space="preserve">his section is about analyzing the </w:t>
      </w:r>
      <w:r w:rsidR="00D56AEF" w:rsidRPr="00A12137">
        <w:rPr>
          <w:rFonts w:ascii="Times New Roman" w:hAnsi="Times New Roman" w:cs="Times New Roman"/>
        </w:rPr>
        <w:t xml:space="preserve">financial position of TSMC between the years 2020 and 2025. </w:t>
      </w:r>
      <w:r w:rsidR="00855B87" w:rsidRPr="00A12137">
        <w:rPr>
          <w:rFonts w:ascii="Times New Roman" w:hAnsi="Times New Roman" w:cs="Times New Roman"/>
        </w:rPr>
        <w:t xml:space="preserve">The analysis features many illustrations and </w:t>
      </w:r>
      <w:r w:rsidR="00734F50" w:rsidRPr="00A12137">
        <w:rPr>
          <w:rFonts w:ascii="Times New Roman" w:hAnsi="Times New Roman" w:cs="Times New Roman"/>
        </w:rPr>
        <w:t xml:space="preserve">numbers that are derived from TSMC’s financial statements, </w:t>
      </w:r>
      <w:r w:rsidR="00E90ACB" w:rsidRPr="00A12137">
        <w:rPr>
          <w:rFonts w:ascii="Times New Roman" w:hAnsi="Times New Roman" w:cs="Times New Roman"/>
        </w:rPr>
        <w:t>sustainability reports and statistics about interest rates and inflation</w:t>
      </w:r>
      <w:r w:rsidR="00F04BFB" w:rsidRPr="00A12137">
        <w:rPr>
          <w:rFonts w:ascii="Times New Roman" w:hAnsi="Times New Roman" w:cs="Times New Roman"/>
        </w:rPr>
        <w:t xml:space="preserve"> </w:t>
      </w:r>
      <w:r w:rsidR="00F04BFB" w:rsidRPr="00A12137">
        <w:rPr>
          <w:rFonts w:ascii="Times New Roman" w:hAnsi="Times New Roman" w:cs="Times New Roman"/>
          <w:color w:val="000000" w:themeColor="text1"/>
        </w:rPr>
        <w:t>(TSMC, 2022 ; TSMC, 2023; TSM, 202</w:t>
      </w:r>
      <w:r w:rsidR="00021588" w:rsidRPr="00A12137">
        <w:rPr>
          <w:rFonts w:ascii="Times New Roman" w:hAnsi="Times New Roman" w:cs="Times New Roman"/>
          <w:color w:val="000000" w:themeColor="text1"/>
        </w:rPr>
        <w:t>6</w:t>
      </w:r>
      <w:r w:rsidR="00F04BFB" w:rsidRPr="00A12137">
        <w:rPr>
          <w:rFonts w:ascii="Times New Roman" w:hAnsi="Times New Roman" w:cs="Times New Roman"/>
          <w:color w:val="000000" w:themeColor="text1"/>
        </w:rPr>
        <w:t>)</w:t>
      </w:r>
      <w:r w:rsidR="00F04BFB" w:rsidRPr="00A12137">
        <w:rPr>
          <w:rFonts w:ascii="Times New Roman" w:hAnsi="Times New Roman" w:cs="Times New Roman"/>
          <w:color w:val="000000" w:themeColor="text1"/>
        </w:rPr>
        <w:t xml:space="preserve">. All the sources are in the references and </w:t>
      </w:r>
      <w:r w:rsidR="00411B44" w:rsidRPr="00A12137">
        <w:rPr>
          <w:rFonts w:ascii="Times New Roman" w:hAnsi="Times New Roman" w:cs="Times New Roman"/>
          <w:color w:val="000000" w:themeColor="text1"/>
        </w:rPr>
        <w:t>in the appendix sect</w:t>
      </w:r>
      <w:r w:rsidR="002F2DC5" w:rsidRPr="00A12137">
        <w:rPr>
          <w:rFonts w:ascii="Times New Roman" w:hAnsi="Times New Roman" w:cs="Times New Roman"/>
          <w:color w:val="000000" w:themeColor="text1"/>
        </w:rPr>
        <w:t>ion</w:t>
      </w:r>
      <w:r w:rsidR="00411B44" w:rsidRPr="00A12137">
        <w:rPr>
          <w:rFonts w:ascii="Times New Roman" w:hAnsi="Times New Roman" w:cs="Times New Roman"/>
          <w:color w:val="000000" w:themeColor="text1"/>
        </w:rPr>
        <w:t xml:space="preserve">, there is a brief explanation about how </w:t>
      </w:r>
      <w:r w:rsidR="002F2DC5" w:rsidRPr="00A12137">
        <w:rPr>
          <w:rFonts w:ascii="Times New Roman" w:hAnsi="Times New Roman" w:cs="Times New Roman"/>
          <w:color w:val="000000" w:themeColor="text1"/>
        </w:rPr>
        <w:t>data was collected. The code itself and the files used to m</w:t>
      </w:r>
      <w:r w:rsidR="00B17EBE" w:rsidRPr="00A12137">
        <w:rPr>
          <w:rFonts w:ascii="Times New Roman" w:hAnsi="Times New Roman" w:cs="Times New Roman"/>
          <w:color w:val="000000" w:themeColor="text1"/>
        </w:rPr>
        <w:t xml:space="preserve">ake these illustrations are </w:t>
      </w:r>
      <w:r w:rsidR="00AD307C" w:rsidRPr="00A12137">
        <w:rPr>
          <w:rFonts w:ascii="Times New Roman" w:hAnsi="Times New Roman" w:cs="Times New Roman"/>
          <w:color w:val="000000" w:themeColor="text1"/>
        </w:rPr>
        <w:t xml:space="preserve">available through the GitHub link provided in the references. </w:t>
      </w:r>
    </w:p>
    <w:p w14:paraId="6050CE05" w14:textId="399FA22F" w:rsidR="006F0E98" w:rsidRPr="00A12137" w:rsidRDefault="00FF4353" w:rsidP="004C52F8">
      <w:pPr>
        <w:spacing w:line="360" w:lineRule="auto"/>
        <w:ind w:firstLine="198"/>
        <w:jc w:val="both"/>
        <w:rPr>
          <w:rFonts w:ascii="Times New Roman" w:hAnsi="Times New Roman" w:cs="Times New Roman"/>
          <w:color w:val="000000" w:themeColor="text1"/>
        </w:rPr>
      </w:pPr>
      <w:r w:rsidRPr="00A12137">
        <w:rPr>
          <w:rFonts w:ascii="Times New Roman" w:hAnsi="Times New Roman" w:cs="Times New Roman"/>
          <w:color w:val="000000" w:themeColor="text1"/>
        </w:rPr>
        <w:t>The analysis’</w:t>
      </w:r>
      <w:r w:rsidR="00F21BB1" w:rsidRPr="00A12137">
        <w:rPr>
          <w:rFonts w:ascii="Times New Roman" w:hAnsi="Times New Roman" w:cs="Times New Roman"/>
          <w:color w:val="000000" w:themeColor="text1"/>
        </w:rPr>
        <w:t xml:space="preserve">s main focus is on assessing the </w:t>
      </w:r>
      <w:r w:rsidR="00E1405B" w:rsidRPr="00A12137">
        <w:rPr>
          <w:rFonts w:ascii="Times New Roman" w:hAnsi="Times New Roman" w:cs="Times New Roman"/>
          <w:color w:val="000000" w:themeColor="text1"/>
        </w:rPr>
        <w:t xml:space="preserve">TSMC’s </w:t>
      </w:r>
      <w:r w:rsidR="00F21BB1" w:rsidRPr="00A12137">
        <w:rPr>
          <w:rFonts w:ascii="Times New Roman" w:hAnsi="Times New Roman" w:cs="Times New Roman"/>
          <w:color w:val="000000" w:themeColor="text1"/>
        </w:rPr>
        <w:t xml:space="preserve">financial risks and </w:t>
      </w:r>
      <w:r w:rsidR="00E1405B" w:rsidRPr="00A12137">
        <w:rPr>
          <w:rFonts w:ascii="Times New Roman" w:hAnsi="Times New Roman" w:cs="Times New Roman"/>
          <w:color w:val="000000" w:themeColor="text1"/>
        </w:rPr>
        <w:t xml:space="preserve">the firm’s ability to </w:t>
      </w:r>
      <w:r w:rsidR="00B84ACE" w:rsidRPr="00A12137">
        <w:rPr>
          <w:rFonts w:ascii="Times New Roman" w:hAnsi="Times New Roman" w:cs="Times New Roman"/>
          <w:color w:val="000000" w:themeColor="text1"/>
        </w:rPr>
        <w:t xml:space="preserve">withstand possible economic shocks. </w:t>
      </w:r>
      <w:r w:rsidR="0005365C" w:rsidRPr="00A12137">
        <w:rPr>
          <w:rFonts w:ascii="Times New Roman" w:hAnsi="Times New Roman" w:cs="Times New Roman"/>
          <w:color w:val="000000" w:themeColor="text1"/>
        </w:rPr>
        <w:t xml:space="preserve">This section includes </w:t>
      </w:r>
      <w:r w:rsidR="009D76CC" w:rsidRPr="00A12137">
        <w:rPr>
          <w:rFonts w:ascii="Times New Roman" w:hAnsi="Times New Roman" w:cs="Times New Roman"/>
          <w:color w:val="000000" w:themeColor="text1"/>
        </w:rPr>
        <w:t xml:space="preserve">analysis on liquidity, </w:t>
      </w:r>
      <w:r w:rsidR="00291607" w:rsidRPr="00A12137">
        <w:rPr>
          <w:rFonts w:ascii="Times New Roman" w:hAnsi="Times New Roman" w:cs="Times New Roman"/>
          <w:color w:val="000000" w:themeColor="text1"/>
        </w:rPr>
        <w:t xml:space="preserve">liabilities, profitability and capital expenditure trends. </w:t>
      </w:r>
      <w:r w:rsidR="008971DA" w:rsidRPr="00A12137">
        <w:rPr>
          <w:rFonts w:ascii="Times New Roman" w:hAnsi="Times New Roman" w:cs="Times New Roman"/>
          <w:color w:val="000000" w:themeColor="text1"/>
        </w:rPr>
        <w:t xml:space="preserve">Knowing these indicators is </w:t>
      </w:r>
      <w:r w:rsidR="00482D74" w:rsidRPr="00A12137">
        <w:rPr>
          <w:rFonts w:ascii="Times New Roman" w:hAnsi="Times New Roman" w:cs="Times New Roman"/>
          <w:color w:val="000000" w:themeColor="text1"/>
        </w:rPr>
        <w:t xml:space="preserve">particularly </w:t>
      </w:r>
      <w:r w:rsidR="008971DA" w:rsidRPr="00A12137">
        <w:rPr>
          <w:rFonts w:ascii="Times New Roman" w:hAnsi="Times New Roman" w:cs="Times New Roman"/>
          <w:color w:val="000000" w:themeColor="text1"/>
        </w:rPr>
        <w:t xml:space="preserve">important </w:t>
      </w:r>
      <w:r w:rsidR="00482D74" w:rsidRPr="00A12137">
        <w:rPr>
          <w:rFonts w:ascii="Times New Roman" w:hAnsi="Times New Roman" w:cs="Times New Roman"/>
          <w:color w:val="000000" w:themeColor="text1"/>
        </w:rPr>
        <w:t xml:space="preserve">when looking at </w:t>
      </w:r>
      <w:r w:rsidR="00544377" w:rsidRPr="00A12137">
        <w:rPr>
          <w:rFonts w:ascii="Times New Roman" w:hAnsi="Times New Roman" w:cs="Times New Roman"/>
          <w:color w:val="000000" w:themeColor="text1"/>
        </w:rPr>
        <w:t xml:space="preserve">companies in the semiconductor industry, since this market requires </w:t>
      </w:r>
      <w:r w:rsidR="00194038" w:rsidRPr="00A12137">
        <w:rPr>
          <w:rFonts w:ascii="Times New Roman" w:hAnsi="Times New Roman" w:cs="Times New Roman"/>
          <w:color w:val="000000" w:themeColor="text1"/>
        </w:rPr>
        <w:t>continuous long-term investments</w:t>
      </w:r>
      <w:r w:rsidR="00CA17D7" w:rsidRPr="00A12137">
        <w:rPr>
          <w:rFonts w:ascii="Times New Roman" w:hAnsi="Times New Roman" w:cs="Times New Roman"/>
          <w:color w:val="000000" w:themeColor="text1"/>
        </w:rPr>
        <w:t xml:space="preserve"> and this could only be managed </w:t>
      </w:r>
      <w:r w:rsidR="00F50633" w:rsidRPr="00A12137">
        <w:rPr>
          <w:rFonts w:ascii="Times New Roman" w:hAnsi="Times New Roman" w:cs="Times New Roman"/>
          <w:color w:val="000000" w:themeColor="text1"/>
        </w:rPr>
        <w:t xml:space="preserve">if companies are highly capital intensive. </w:t>
      </w:r>
      <w:r w:rsidR="004D438D" w:rsidRPr="00A12137">
        <w:rPr>
          <w:rFonts w:ascii="Times New Roman" w:hAnsi="Times New Roman" w:cs="Times New Roman"/>
          <w:color w:val="000000" w:themeColor="text1"/>
        </w:rPr>
        <w:t xml:space="preserve">Furthermore, the figures presented in this section are meant to </w:t>
      </w:r>
      <w:r w:rsidR="00784557" w:rsidRPr="00A12137">
        <w:rPr>
          <w:rFonts w:ascii="Times New Roman" w:hAnsi="Times New Roman" w:cs="Times New Roman"/>
          <w:color w:val="000000" w:themeColor="text1"/>
        </w:rPr>
        <w:t xml:space="preserve">illustrate the company’s financial </w:t>
      </w:r>
      <w:r w:rsidR="008E48A6" w:rsidRPr="00A12137">
        <w:rPr>
          <w:rFonts w:ascii="Times New Roman" w:hAnsi="Times New Roman" w:cs="Times New Roman"/>
          <w:color w:val="000000" w:themeColor="text1"/>
        </w:rPr>
        <w:t xml:space="preserve">statistics and it’s ability to </w:t>
      </w:r>
      <w:r w:rsidR="00834FA9" w:rsidRPr="00A12137">
        <w:rPr>
          <w:rFonts w:ascii="Times New Roman" w:hAnsi="Times New Roman" w:cs="Times New Roman"/>
          <w:color w:val="000000" w:themeColor="text1"/>
        </w:rPr>
        <w:t>manage various financial and strategic risks that were discussed in the theoretical framework section of this paper.</w:t>
      </w:r>
    </w:p>
    <w:p w14:paraId="031734DB" w14:textId="38EAF81A" w:rsidR="00087A56" w:rsidRDefault="006F0E98" w:rsidP="004C52F8">
      <w:pPr>
        <w:spacing w:line="360" w:lineRule="auto"/>
        <w:ind w:firstLine="198"/>
        <w:jc w:val="both"/>
        <w:rPr>
          <w:rFonts w:ascii="Times New Roman" w:hAnsi="Times New Roman" w:cs="Times New Roman"/>
          <w:color w:val="000000" w:themeColor="text1"/>
        </w:rPr>
      </w:pPr>
      <w:r w:rsidRPr="00A12137">
        <w:rPr>
          <w:rFonts w:ascii="Times New Roman" w:hAnsi="Times New Roman" w:cs="Times New Roman"/>
          <w:color w:val="000000" w:themeColor="text1"/>
        </w:rPr>
        <w:t xml:space="preserve">Firstly, Figure </w:t>
      </w:r>
      <w:r w:rsidR="00E94AA9" w:rsidRPr="00A12137">
        <w:rPr>
          <w:rFonts w:ascii="Times New Roman" w:hAnsi="Times New Roman" w:cs="Times New Roman"/>
          <w:color w:val="000000" w:themeColor="text1"/>
        </w:rPr>
        <w:t xml:space="preserve">3.1.1 shows TSMC’s </w:t>
      </w:r>
      <w:r w:rsidR="006F38B4" w:rsidRPr="00A12137">
        <w:rPr>
          <w:rFonts w:ascii="Times New Roman" w:hAnsi="Times New Roman" w:cs="Times New Roman"/>
          <w:color w:val="000000" w:themeColor="text1"/>
        </w:rPr>
        <w:t xml:space="preserve">current assets and current liabilities. The figure </w:t>
      </w:r>
      <w:r w:rsidR="00B153BB" w:rsidRPr="00A12137">
        <w:rPr>
          <w:rFonts w:ascii="Times New Roman" w:hAnsi="Times New Roman" w:cs="Times New Roman"/>
          <w:color w:val="000000" w:themeColor="text1"/>
        </w:rPr>
        <w:t>demonstrates a significant upward trend with rising current assets and current liabilities each year.</w:t>
      </w:r>
      <w:r w:rsidR="00B17BF8" w:rsidRPr="00A12137">
        <w:rPr>
          <w:rFonts w:ascii="Times New Roman" w:hAnsi="Times New Roman" w:cs="Times New Roman"/>
          <w:color w:val="000000" w:themeColor="text1"/>
        </w:rPr>
        <w:t xml:space="preserve"> While current assets increased from </w:t>
      </w:r>
      <w:r w:rsidR="00893FB3" w:rsidRPr="00A12137">
        <w:rPr>
          <w:rFonts w:ascii="Times New Roman" w:hAnsi="Times New Roman" w:cs="Times New Roman"/>
          <w:color w:val="000000" w:themeColor="text1"/>
        </w:rPr>
        <w:t xml:space="preserve">NT$ 1.09 trillion in 2020 to </w:t>
      </w:r>
      <w:r w:rsidR="006663D1" w:rsidRPr="00A12137">
        <w:rPr>
          <w:rFonts w:ascii="Times New Roman" w:hAnsi="Times New Roman" w:cs="Times New Roman"/>
          <w:color w:val="000000" w:themeColor="text1"/>
        </w:rPr>
        <w:t xml:space="preserve">just over NT$ 3.8 trillion by the end of 2025, current </w:t>
      </w:r>
      <w:r w:rsidR="0030477D" w:rsidRPr="00A12137">
        <w:rPr>
          <w:rFonts w:ascii="Times New Roman" w:hAnsi="Times New Roman" w:cs="Times New Roman"/>
          <w:color w:val="000000" w:themeColor="text1"/>
        </w:rPr>
        <w:t>liabilities increased t</w:t>
      </w:r>
      <w:r w:rsidR="00AA26BD" w:rsidRPr="00A12137">
        <w:rPr>
          <w:rFonts w:ascii="Times New Roman" w:hAnsi="Times New Roman" w:cs="Times New Roman"/>
          <w:color w:val="000000" w:themeColor="text1"/>
        </w:rPr>
        <w:t>oo</w:t>
      </w:r>
      <w:r w:rsidR="001B7870" w:rsidRPr="00A12137">
        <w:rPr>
          <w:rFonts w:ascii="Times New Roman" w:hAnsi="Times New Roman" w:cs="Times New Roman"/>
          <w:color w:val="000000" w:themeColor="text1"/>
        </w:rPr>
        <w:t>,</w:t>
      </w:r>
      <w:r w:rsidR="00AA26BD" w:rsidRPr="00A12137">
        <w:rPr>
          <w:rFonts w:ascii="Times New Roman" w:hAnsi="Times New Roman" w:cs="Times New Roman"/>
          <w:color w:val="000000" w:themeColor="text1"/>
        </w:rPr>
        <w:t xml:space="preserve"> going from NT$ </w:t>
      </w:r>
      <w:r w:rsidR="005E0AFB" w:rsidRPr="00A12137">
        <w:rPr>
          <w:rFonts w:ascii="Times New Roman" w:hAnsi="Times New Roman" w:cs="Times New Roman"/>
          <w:color w:val="000000" w:themeColor="text1"/>
        </w:rPr>
        <w:t>61</w:t>
      </w:r>
      <w:r w:rsidR="00DA0779" w:rsidRPr="00A12137">
        <w:rPr>
          <w:rFonts w:ascii="Times New Roman" w:hAnsi="Times New Roman" w:cs="Times New Roman"/>
          <w:color w:val="000000" w:themeColor="text1"/>
        </w:rPr>
        <w:t xml:space="preserve">7 billion to NT$ 1.46 trillion during the same period. </w:t>
      </w:r>
      <w:r w:rsidR="00E006F9" w:rsidRPr="00A12137">
        <w:rPr>
          <w:rFonts w:ascii="Times New Roman" w:hAnsi="Times New Roman" w:cs="Times New Roman"/>
          <w:color w:val="000000" w:themeColor="text1"/>
        </w:rPr>
        <w:t xml:space="preserve">This means that current assets always remained much higher than </w:t>
      </w:r>
      <w:r w:rsidR="00B32D78" w:rsidRPr="00A12137">
        <w:rPr>
          <w:rFonts w:ascii="Times New Roman" w:hAnsi="Times New Roman" w:cs="Times New Roman"/>
          <w:color w:val="000000" w:themeColor="text1"/>
        </w:rPr>
        <w:t xml:space="preserve">current liabilities. Therefore, the figure suggests that TSMC had enough </w:t>
      </w:r>
      <w:r w:rsidR="00735012" w:rsidRPr="00A12137">
        <w:rPr>
          <w:rFonts w:ascii="Times New Roman" w:hAnsi="Times New Roman" w:cs="Times New Roman"/>
          <w:color w:val="000000" w:themeColor="text1"/>
        </w:rPr>
        <w:t>liquid positions to meet its payment obligations in th</w:t>
      </w:r>
      <w:r w:rsidR="00631ED7" w:rsidRPr="00A12137">
        <w:rPr>
          <w:rFonts w:ascii="Times New Roman" w:hAnsi="Times New Roman" w:cs="Times New Roman"/>
          <w:color w:val="000000" w:themeColor="text1"/>
        </w:rPr>
        <w:t xml:space="preserve">is period of analysis. </w:t>
      </w:r>
      <w:r w:rsidR="00273F28" w:rsidRPr="00A12137">
        <w:rPr>
          <w:rFonts w:ascii="Times New Roman" w:hAnsi="Times New Roman" w:cs="Times New Roman"/>
          <w:color w:val="000000" w:themeColor="text1"/>
        </w:rPr>
        <w:t xml:space="preserve">This finding is further </w:t>
      </w:r>
      <w:r w:rsidR="007673DF" w:rsidRPr="00A12137">
        <w:rPr>
          <w:rFonts w:ascii="Times New Roman" w:hAnsi="Times New Roman" w:cs="Times New Roman"/>
          <w:color w:val="000000" w:themeColor="text1"/>
        </w:rPr>
        <w:t xml:space="preserve">showed by Figure 1.1.2, which demonstrates how the current ratio, which is all current assets divided by all current </w:t>
      </w:r>
      <w:r w:rsidR="00F5306E" w:rsidRPr="00A12137">
        <w:rPr>
          <w:rFonts w:ascii="Times New Roman" w:hAnsi="Times New Roman" w:cs="Times New Roman"/>
          <w:color w:val="000000" w:themeColor="text1"/>
        </w:rPr>
        <w:t>liabilities has changed during this time and it increased substantially, which suggests that the company’s financial position became more stable during the period between 2020 and 2025.</w:t>
      </w:r>
    </w:p>
    <w:p w14:paraId="53B410C3" w14:textId="77777777" w:rsidR="00B23954" w:rsidRPr="00A12137" w:rsidRDefault="00B23954" w:rsidP="00E05180">
      <w:pPr>
        <w:spacing w:line="360" w:lineRule="auto"/>
        <w:jc w:val="both"/>
        <w:rPr>
          <w:rFonts w:ascii="Times New Roman" w:hAnsi="Times New Roman" w:cs="Times New Roman"/>
        </w:rPr>
      </w:pPr>
    </w:p>
    <w:p w14:paraId="1CFB2AA9" w14:textId="77777777" w:rsidR="00B23954" w:rsidRDefault="00B23954">
      <w:pPr>
        <w:rPr>
          <w:rFonts w:ascii="Times New Roman" w:hAnsi="Times New Roman" w:cs="Times New Roman"/>
          <w:color w:val="000000" w:themeColor="text1"/>
        </w:rPr>
      </w:pPr>
      <w:r>
        <w:rPr>
          <w:rFonts w:ascii="Times New Roman" w:hAnsi="Times New Roman" w:cs="Times New Roman"/>
          <w:color w:val="000000" w:themeColor="text1"/>
        </w:rPr>
        <w:br w:type="page"/>
      </w:r>
    </w:p>
    <w:p w14:paraId="19293CCA" w14:textId="20133C40" w:rsidR="00692B11" w:rsidRPr="003307A6" w:rsidRDefault="00CF3D88" w:rsidP="00B23954">
      <w:pPr>
        <w:spacing w:line="360" w:lineRule="auto"/>
        <w:jc w:val="both"/>
        <w:rPr>
          <w:rFonts w:ascii="Times New Roman" w:hAnsi="Times New Roman" w:cs="Times New Roman"/>
          <w:i/>
          <w:iCs/>
          <w:color w:val="000000" w:themeColor="text1"/>
        </w:rPr>
      </w:pPr>
      <w:r w:rsidRPr="003307A6">
        <w:rPr>
          <w:rFonts w:ascii="Times New Roman" w:hAnsi="Times New Roman" w:cs="Times New Roman"/>
          <w:i/>
          <w:iCs/>
          <w:color w:val="000000" w:themeColor="text1"/>
        </w:rPr>
        <w:lastRenderedPageBreak/>
        <w:t>Figure 3.1.1: TSMC Current Assets and Current Liabilitie</w:t>
      </w:r>
      <w:r w:rsidR="00087A56" w:rsidRPr="003307A6">
        <w:rPr>
          <w:rFonts w:ascii="Times New Roman" w:hAnsi="Times New Roman" w:cs="Times New Roman"/>
          <w:i/>
          <w:iCs/>
          <w:color w:val="000000" w:themeColor="text1"/>
        </w:rPr>
        <w:t>s</w:t>
      </w:r>
    </w:p>
    <w:p w14:paraId="5DBD8847" w14:textId="64185CF2" w:rsidR="00A12DE9" w:rsidRDefault="00087A56" w:rsidP="00B23954">
      <w:pPr>
        <w:spacing w:line="360" w:lineRule="auto"/>
        <w:jc w:val="both"/>
        <w:rPr>
          <w:rFonts w:ascii="Times New Roman" w:hAnsi="Times New Roman" w:cs="Times New Roman"/>
          <w:color w:val="000000" w:themeColor="text1"/>
        </w:rPr>
      </w:pPr>
      <w:r w:rsidRPr="00A12137">
        <w:rPr>
          <w:rFonts w:ascii="Times New Roman" w:hAnsi="Times New Roman" w:cs="Times New Roman"/>
          <w:noProof/>
          <w:color w:val="000000" w:themeColor="text1"/>
        </w:rPr>
        <w:drawing>
          <wp:inline distT="0" distB="0" distL="0" distR="0" wp14:anchorId="38F32F85" wp14:editId="788E02A2">
            <wp:extent cx="5164800" cy="2966720"/>
            <wp:effectExtent l="12700" t="12700" r="17145" b="17780"/>
            <wp:docPr id="21551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12145" name="Picture 215512145"/>
                    <pic:cNvPicPr/>
                  </pic:nvPicPr>
                  <pic:blipFill rotWithShape="1">
                    <a:blip r:embed="rId10" cstate="print">
                      <a:extLst>
                        <a:ext uri="{28A0092B-C50C-407E-A947-70E740481C1C}">
                          <a14:useLocalDpi xmlns:a14="http://schemas.microsoft.com/office/drawing/2010/main" val="0"/>
                        </a:ext>
                      </a:extLst>
                    </a:blip>
                    <a:srcRect l="-1" r="-1"/>
                    <a:stretch>
                      <a:fillRect/>
                    </a:stretch>
                  </pic:blipFill>
                  <pic:spPr bwMode="auto">
                    <a:xfrm>
                      <a:off x="0" y="0"/>
                      <a:ext cx="5364035" cy="3081163"/>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r w:rsidR="007757B6" w:rsidRPr="006122E8">
        <w:rPr>
          <w:rFonts w:ascii="Times New Roman" w:hAnsi="Times New Roman" w:cs="Times New Roman"/>
          <w:i/>
          <w:iCs/>
          <w:color w:val="000000" w:themeColor="text1"/>
          <w:sz w:val="16"/>
          <w:szCs w:val="16"/>
        </w:rPr>
        <w:t>(Note: 1.0=1,000,000 NT$ million)</w:t>
      </w:r>
    </w:p>
    <w:p w14:paraId="19D92664" w14:textId="77777777" w:rsidR="00024AF0" w:rsidRPr="00A12137" w:rsidRDefault="00024AF0" w:rsidP="00B23954">
      <w:pPr>
        <w:spacing w:line="360" w:lineRule="auto"/>
        <w:jc w:val="both"/>
        <w:rPr>
          <w:rFonts w:ascii="Times New Roman" w:hAnsi="Times New Roman" w:cs="Times New Roman"/>
          <w:color w:val="000000" w:themeColor="text1"/>
        </w:rPr>
      </w:pPr>
    </w:p>
    <w:p w14:paraId="46B52FE1" w14:textId="6D03E95D" w:rsidR="00692B11" w:rsidRPr="003307A6" w:rsidRDefault="00CF3D88" w:rsidP="00B23954">
      <w:pPr>
        <w:spacing w:line="360" w:lineRule="auto"/>
        <w:jc w:val="both"/>
        <w:rPr>
          <w:rFonts w:ascii="Times New Roman" w:hAnsi="Times New Roman" w:cs="Times New Roman"/>
          <w:i/>
          <w:iCs/>
          <w:color w:val="000000" w:themeColor="text1"/>
        </w:rPr>
      </w:pPr>
      <w:r w:rsidRPr="003307A6">
        <w:rPr>
          <w:rFonts w:ascii="Times New Roman" w:hAnsi="Times New Roman" w:cs="Times New Roman"/>
          <w:i/>
          <w:iCs/>
          <w:color w:val="000000" w:themeColor="text1"/>
        </w:rPr>
        <w:t>Figure 3.1.2: TSMC Current Ratio</w:t>
      </w:r>
    </w:p>
    <w:p w14:paraId="0C72722B" w14:textId="72679FC0" w:rsidR="00087A56" w:rsidRPr="00A12137" w:rsidRDefault="00087A56" w:rsidP="00B23954">
      <w:pPr>
        <w:spacing w:line="360" w:lineRule="auto"/>
        <w:jc w:val="both"/>
        <w:rPr>
          <w:rFonts w:ascii="Times New Roman" w:hAnsi="Times New Roman" w:cs="Times New Roman"/>
          <w:color w:val="000000" w:themeColor="text1"/>
        </w:rPr>
      </w:pPr>
      <w:r w:rsidRPr="00A12137">
        <w:rPr>
          <w:rFonts w:ascii="Times New Roman" w:hAnsi="Times New Roman" w:cs="Times New Roman"/>
          <w:noProof/>
          <w:color w:val="000000" w:themeColor="text1"/>
        </w:rPr>
        <w:drawing>
          <wp:inline distT="0" distB="0" distL="0" distR="0" wp14:anchorId="0C687ACB" wp14:editId="3A25BC0F">
            <wp:extent cx="5164455" cy="2868922"/>
            <wp:effectExtent l="12700" t="12700" r="17145" b="14605"/>
            <wp:docPr id="359688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88600" name="Picture 3596886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6886" cy="2892493"/>
                    </a:xfrm>
                    <a:prstGeom prst="rect">
                      <a:avLst/>
                    </a:prstGeom>
                    <a:ln w="6350">
                      <a:solidFill>
                        <a:schemeClr val="tx1"/>
                      </a:solidFill>
                    </a:ln>
                  </pic:spPr>
                </pic:pic>
              </a:graphicData>
            </a:graphic>
          </wp:inline>
        </w:drawing>
      </w:r>
    </w:p>
    <w:p w14:paraId="69161A89" w14:textId="77777777" w:rsidR="00F5306E" w:rsidRPr="00A12137" w:rsidRDefault="00F5306E" w:rsidP="00B23954">
      <w:pPr>
        <w:spacing w:line="360" w:lineRule="auto"/>
        <w:jc w:val="both"/>
        <w:rPr>
          <w:rFonts w:ascii="Times New Roman" w:hAnsi="Times New Roman" w:cs="Times New Roman"/>
          <w:color w:val="000000" w:themeColor="text1"/>
        </w:rPr>
      </w:pPr>
    </w:p>
    <w:p w14:paraId="4F385658" w14:textId="4F181C0B" w:rsidR="00B11CC1" w:rsidRPr="00A12137" w:rsidRDefault="001C49B3" w:rsidP="00CD28D4">
      <w:pPr>
        <w:spacing w:line="360" w:lineRule="auto"/>
        <w:ind w:firstLine="198"/>
        <w:jc w:val="both"/>
        <w:rPr>
          <w:rFonts w:ascii="Times New Roman" w:hAnsi="Times New Roman" w:cs="Times New Roman"/>
          <w:color w:val="000000" w:themeColor="text1"/>
        </w:rPr>
      </w:pPr>
      <w:r w:rsidRPr="00A12137">
        <w:rPr>
          <w:rFonts w:ascii="Times New Roman" w:hAnsi="Times New Roman" w:cs="Times New Roman"/>
          <w:color w:val="000000" w:themeColor="text1"/>
        </w:rPr>
        <w:t xml:space="preserve">Figure 3.1.3. illustrates how TSMC’s </w:t>
      </w:r>
      <w:r w:rsidR="00901413" w:rsidRPr="00A12137">
        <w:rPr>
          <w:rFonts w:ascii="Times New Roman" w:hAnsi="Times New Roman" w:cs="Times New Roman"/>
          <w:color w:val="000000" w:themeColor="text1"/>
        </w:rPr>
        <w:t xml:space="preserve">revenues and net income has changed during the given period. </w:t>
      </w:r>
      <w:r w:rsidR="000F00E4" w:rsidRPr="00A12137">
        <w:rPr>
          <w:rFonts w:ascii="Times New Roman" w:hAnsi="Times New Roman" w:cs="Times New Roman"/>
          <w:color w:val="000000" w:themeColor="text1"/>
        </w:rPr>
        <w:t xml:space="preserve">Revenues increased from NT$ 1.34 </w:t>
      </w:r>
      <w:r w:rsidR="008470F0" w:rsidRPr="00A12137">
        <w:rPr>
          <w:rFonts w:ascii="Times New Roman" w:hAnsi="Times New Roman" w:cs="Times New Roman"/>
          <w:color w:val="000000" w:themeColor="text1"/>
        </w:rPr>
        <w:t>trillion to NT$ 3.</w:t>
      </w:r>
      <w:r w:rsidR="00346D46" w:rsidRPr="00A12137">
        <w:rPr>
          <w:rFonts w:ascii="Times New Roman" w:hAnsi="Times New Roman" w:cs="Times New Roman"/>
          <w:color w:val="000000" w:themeColor="text1"/>
        </w:rPr>
        <w:t xml:space="preserve">8 trillion by the end of 2025. Moreover, net income also increased from approximately NT$ 518 billion </w:t>
      </w:r>
      <w:r w:rsidR="00F211C3" w:rsidRPr="00A12137">
        <w:rPr>
          <w:rFonts w:ascii="Times New Roman" w:hAnsi="Times New Roman" w:cs="Times New Roman"/>
          <w:color w:val="000000" w:themeColor="text1"/>
        </w:rPr>
        <w:t>to 1.7 trillion in the same period.</w:t>
      </w:r>
      <w:r w:rsidR="003D6EC5" w:rsidRPr="00A12137">
        <w:rPr>
          <w:rFonts w:ascii="Times New Roman" w:hAnsi="Times New Roman" w:cs="Times New Roman"/>
          <w:color w:val="000000" w:themeColor="text1"/>
        </w:rPr>
        <w:t xml:space="preserve"> </w:t>
      </w:r>
      <w:r w:rsidR="00FF0716" w:rsidRPr="00A12137">
        <w:rPr>
          <w:rFonts w:ascii="Times New Roman" w:hAnsi="Times New Roman" w:cs="Times New Roman"/>
          <w:color w:val="000000" w:themeColor="text1"/>
        </w:rPr>
        <w:t xml:space="preserve">The figure also shows a small slowdown period for </w:t>
      </w:r>
      <w:r w:rsidR="00DD2F63" w:rsidRPr="00A12137">
        <w:rPr>
          <w:rFonts w:ascii="Times New Roman" w:hAnsi="Times New Roman" w:cs="Times New Roman"/>
          <w:color w:val="000000" w:themeColor="text1"/>
        </w:rPr>
        <w:t xml:space="preserve">both </w:t>
      </w:r>
      <w:r w:rsidR="001D4B51" w:rsidRPr="00A12137">
        <w:rPr>
          <w:rFonts w:ascii="Times New Roman" w:hAnsi="Times New Roman" w:cs="Times New Roman"/>
          <w:color w:val="000000" w:themeColor="text1"/>
        </w:rPr>
        <w:t xml:space="preserve">net income </w:t>
      </w:r>
      <w:r w:rsidR="00DD2F63" w:rsidRPr="00A12137">
        <w:rPr>
          <w:rFonts w:ascii="Times New Roman" w:hAnsi="Times New Roman" w:cs="Times New Roman"/>
          <w:color w:val="000000" w:themeColor="text1"/>
        </w:rPr>
        <w:t xml:space="preserve">and revenues </w:t>
      </w:r>
      <w:r w:rsidR="001D4B51" w:rsidRPr="00A12137">
        <w:rPr>
          <w:rFonts w:ascii="Times New Roman" w:hAnsi="Times New Roman" w:cs="Times New Roman"/>
          <w:color w:val="000000" w:themeColor="text1"/>
        </w:rPr>
        <w:t>between 2022 and 2023, which can be attributed to less semiconductor demand in that period (TSMC, 202</w:t>
      </w:r>
      <w:r w:rsidR="003F7BC3" w:rsidRPr="00A12137">
        <w:rPr>
          <w:rFonts w:ascii="Times New Roman" w:hAnsi="Times New Roman" w:cs="Times New Roman"/>
          <w:color w:val="000000" w:themeColor="text1"/>
        </w:rPr>
        <w:t xml:space="preserve">3). </w:t>
      </w:r>
      <w:r w:rsidR="00A410B8" w:rsidRPr="00A12137">
        <w:rPr>
          <w:rFonts w:ascii="Times New Roman" w:hAnsi="Times New Roman" w:cs="Times New Roman"/>
          <w:color w:val="000000" w:themeColor="text1"/>
        </w:rPr>
        <w:t xml:space="preserve">After this brief slowdown period, net income and </w:t>
      </w:r>
      <w:r w:rsidR="00DD2F63" w:rsidRPr="00A12137">
        <w:rPr>
          <w:rFonts w:ascii="Times New Roman" w:hAnsi="Times New Roman" w:cs="Times New Roman"/>
          <w:color w:val="000000" w:themeColor="text1"/>
        </w:rPr>
        <w:t xml:space="preserve">revenues continued to significantly increase mostly due to </w:t>
      </w:r>
      <w:r w:rsidR="008E0162" w:rsidRPr="00A12137">
        <w:rPr>
          <w:rFonts w:ascii="Times New Roman" w:hAnsi="Times New Roman" w:cs="Times New Roman"/>
          <w:color w:val="000000" w:themeColor="text1"/>
        </w:rPr>
        <w:t>increasing demand for AI-technology related semiconductor chips during this time (TSMC,</w:t>
      </w:r>
      <w:r w:rsidR="00021588" w:rsidRPr="00A12137">
        <w:rPr>
          <w:rFonts w:ascii="Times New Roman" w:hAnsi="Times New Roman" w:cs="Times New Roman"/>
          <w:color w:val="000000" w:themeColor="text1"/>
        </w:rPr>
        <w:t xml:space="preserve"> </w:t>
      </w:r>
      <w:r w:rsidR="008E0162" w:rsidRPr="00A12137">
        <w:rPr>
          <w:rFonts w:ascii="Times New Roman" w:hAnsi="Times New Roman" w:cs="Times New Roman"/>
          <w:color w:val="000000" w:themeColor="text1"/>
        </w:rPr>
        <w:t>202</w:t>
      </w:r>
      <w:r w:rsidR="00021588" w:rsidRPr="00A12137">
        <w:rPr>
          <w:rFonts w:ascii="Times New Roman" w:hAnsi="Times New Roman" w:cs="Times New Roman"/>
          <w:color w:val="000000" w:themeColor="text1"/>
        </w:rPr>
        <w:t>6</w:t>
      </w:r>
      <w:r w:rsidR="007B1065" w:rsidRPr="00A12137">
        <w:rPr>
          <w:rFonts w:ascii="Times New Roman" w:hAnsi="Times New Roman" w:cs="Times New Roman"/>
          <w:color w:val="000000" w:themeColor="text1"/>
        </w:rPr>
        <w:t xml:space="preserve">). </w:t>
      </w:r>
    </w:p>
    <w:p w14:paraId="3D54D5C4" w14:textId="77777777" w:rsidR="00692B11" w:rsidRPr="00A12137" w:rsidRDefault="00692B11" w:rsidP="00B23954">
      <w:pPr>
        <w:spacing w:line="360" w:lineRule="auto"/>
        <w:jc w:val="both"/>
        <w:rPr>
          <w:rFonts w:ascii="Times New Roman" w:hAnsi="Times New Roman" w:cs="Times New Roman"/>
          <w:color w:val="000000" w:themeColor="text1"/>
        </w:rPr>
      </w:pPr>
    </w:p>
    <w:p w14:paraId="7F74E578" w14:textId="77777777" w:rsidR="00CD28D4" w:rsidRDefault="00CD28D4">
      <w:pPr>
        <w:rPr>
          <w:rFonts w:ascii="Times New Roman" w:hAnsi="Times New Roman" w:cs="Times New Roman"/>
          <w:color w:val="000000" w:themeColor="text1"/>
        </w:rPr>
      </w:pPr>
      <w:r>
        <w:rPr>
          <w:rFonts w:ascii="Times New Roman" w:hAnsi="Times New Roman" w:cs="Times New Roman"/>
          <w:color w:val="000000" w:themeColor="text1"/>
        </w:rPr>
        <w:br w:type="page"/>
      </w:r>
    </w:p>
    <w:p w14:paraId="71446ED7" w14:textId="3CCC2A05" w:rsidR="00692B11" w:rsidRPr="003307A6" w:rsidRDefault="00CF3D88" w:rsidP="00B23954">
      <w:pPr>
        <w:spacing w:line="360" w:lineRule="auto"/>
        <w:jc w:val="both"/>
        <w:rPr>
          <w:rFonts w:ascii="Times New Roman" w:hAnsi="Times New Roman" w:cs="Times New Roman"/>
          <w:i/>
          <w:iCs/>
          <w:color w:val="000000" w:themeColor="text1"/>
        </w:rPr>
      </w:pPr>
      <w:r w:rsidRPr="003307A6">
        <w:rPr>
          <w:rFonts w:ascii="Times New Roman" w:hAnsi="Times New Roman" w:cs="Times New Roman"/>
          <w:i/>
          <w:iCs/>
          <w:color w:val="000000" w:themeColor="text1"/>
        </w:rPr>
        <w:lastRenderedPageBreak/>
        <w:t>Figure 3.1.3: TSMC Revenue and Net Income</w:t>
      </w:r>
    </w:p>
    <w:p w14:paraId="28ADC839" w14:textId="7D98A5AA" w:rsidR="00CC1D30" w:rsidRDefault="00087A56" w:rsidP="00B23954">
      <w:pPr>
        <w:spacing w:line="360" w:lineRule="auto"/>
        <w:jc w:val="both"/>
        <w:rPr>
          <w:rFonts w:ascii="Times New Roman" w:hAnsi="Times New Roman" w:cs="Times New Roman"/>
          <w:color w:val="000000" w:themeColor="text1"/>
        </w:rPr>
      </w:pPr>
      <w:r w:rsidRPr="00A12137">
        <w:rPr>
          <w:rFonts w:ascii="Times New Roman" w:hAnsi="Times New Roman" w:cs="Times New Roman"/>
          <w:noProof/>
          <w:color w:val="000000" w:themeColor="text1"/>
        </w:rPr>
        <w:drawing>
          <wp:inline distT="0" distB="0" distL="0" distR="0" wp14:anchorId="44340AF4" wp14:editId="76770560">
            <wp:extent cx="5129561" cy="2849538"/>
            <wp:effectExtent l="12700" t="12700" r="13970" b="8255"/>
            <wp:docPr id="1276148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48024" name="Picture 12761480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4560" cy="2913422"/>
                    </a:xfrm>
                    <a:prstGeom prst="rect">
                      <a:avLst/>
                    </a:prstGeom>
                    <a:ln w="6350">
                      <a:solidFill>
                        <a:schemeClr val="tx1"/>
                      </a:solidFill>
                    </a:ln>
                  </pic:spPr>
                </pic:pic>
              </a:graphicData>
            </a:graphic>
          </wp:inline>
        </w:drawing>
      </w:r>
      <w:r w:rsidR="007757B6" w:rsidRPr="006122E8">
        <w:rPr>
          <w:rFonts w:ascii="Times New Roman" w:hAnsi="Times New Roman" w:cs="Times New Roman"/>
          <w:i/>
          <w:iCs/>
          <w:color w:val="000000" w:themeColor="text1"/>
          <w:sz w:val="16"/>
          <w:szCs w:val="16"/>
        </w:rPr>
        <w:t>(Note: 1.0=1,000,000 NT$ million)</w:t>
      </w:r>
    </w:p>
    <w:p w14:paraId="661D1EF3" w14:textId="77777777" w:rsidR="00A12DE9" w:rsidRPr="00A12137" w:rsidRDefault="00A12DE9" w:rsidP="00B23954">
      <w:pPr>
        <w:spacing w:line="360" w:lineRule="auto"/>
        <w:jc w:val="both"/>
        <w:rPr>
          <w:rFonts w:ascii="Times New Roman" w:hAnsi="Times New Roman" w:cs="Times New Roman"/>
          <w:color w:val="000000" w:themeColor="text1"/>
        </w:rPr>
      </w:pPr>
    </w:p>
    <w:p w14:paraId="4838F83F" w14:textId="45FBC485" w:rsidR="00FD0BC2" w:rsidRPr="00A12137" w:rsidRDefault="008E495D" w:rsidP="00CD28D4">
      <w:pPr>
        <w:spacing w:line="360" w:lineRule="auto"/>
        <w:ind w:firstLine="198"/>
        <w:jc w:val="both"/>
        <w:rPr>
          <w:rFonts w:ascii="Times New Roman" w:hAnsi="Times New Roman" w:cs="Times New Roman"/>
        </w:rPr>
      </w:pPr>
      <w:r w:rsidRPr="00A12137">
        <w:rPr>
          <w:rFonts w:ascii="Times New Roman" w:hAnsi="Times New Roman" w:cs="Times New Roman"/>
          <w:color w:val="000000" w:themeColor="text1"/>
        </w:rPr>
        <w:t>Furthermore, Figure 3.1.4</w:t>
      </w:r>
      <w:r w:rsidR="00026EA7" w:rsidRPr="00A12137">
        <w:rPr>
          <w:rFonts w:ascii="Times New Roman" w:hAnsi="Times New Roman" w:cs="Times New Roman"/>
          <w:color w:val="000000" w:themeColor="text1"/>
        </w:rPr>
        <w:t xml:space="preserve"> shows how TSMC’s capital expenditure</w:t>
      </w:r>
      <w:r w:rsidR="00875391" w:rsidRPr="00A12137">
        <w:rPr>
          <w:rFonts w:ascii="Times New Roman" w:hAnsi="Times New Roman" w:cs="Times New Roman"/>
          <w:color w:val="000000" w:themeColor="text1"/>
        </w:rPr>
        <w:t xml:space="preserve"> (CapEx)</w:t>
      </w:r>
      <w:r w:rsidR="00026EA7" w:rsidRPr="00A12137">
        <w:rPr>
          <w:rFonts w:ascii="Times New Roman" w:hAnsi="Times New Roman" w:cs="Times New Roman"/>
          <w:color w:val="000000" w:themeColor="text1"/>
        </w:rPr>
        <w:t xml:space="preserve"> has changed during the period of analysis. In this figure, there is clear </w:t>
      </w:r>
      <w:r w:rsidR="00875391" w:rsidRPr="00A12137">
        <w:rPr>
          <w:rFonts w:ascii="Times New Roman" w:hAnsi="Times New Roman" w:cs="Times New Roman"/>
          <w:color w:val="000000" w:themeColor="text1"/>
        </w:rPr>
        <w:t xml:space="preserve">increase in CapEx </w:t>
      </w:r>
      <w:r w:rsidR="00846746" w:rsidRPr="00A12137">
        <w:rPr>
          <w:rFonts w:ascii="Times New Roman" w:hAnsi="Times New Roman" w:cs="Times New Roman"/>
          <w:color w:val="000000" w:themeColor="text1"/>
        </w:rPr>
        <w:t xml:space="preserve">overall from </w:t>
      </w:r>
      <w:r w:rsidR="007D3BEB" w:rsidRPr="00A12137">
        <w:rPr>
          <w:rFonts w:ascii="Times New Roman" w:hAnsi="Times New Roman" w:cs="Times New Roman"/>
        </w:rPr>
        <w:t>NT$507 billion</w:t>
      </w:r>
      <w:r w:rsidR="007D3BEB" w:rsidRPr="00A12137">
        <w:rPr>
          <w:rFonts w:ascii="Times New Roman" w:hAnsi="Times New Roman" w:cs="Times New Roman"/>
        </w:rPr>
        <w:t xml:space="preserve"> </w:t>
      </w:r>
      <w:r w:rsidR="007D3BEB" w:rsidRPr="00A12137">
        <w:rPr>
          <w:rFonts w:ascii="Times New Roman" w:hAnsi="Times New Roman" w:cs="Times New Roman"/>
        </w:rPr>
        <w:t>to over NT$1.27 trillion</w:t>
      </w:r>
      <w:r w:rsidR="007D3BEB" w:rsidRPr="00A12137">
        <w:rPr>
          <w:rFonts w:ascii="Times New Roman" w:hAnsi="Times New Roman" w:cs="Times New Roman"/>
        </w:rPr>
        <w:t>.</w:t>
      </w:r>
      <w:r w:rsidR="005A3073" w:rsidRPr="00A12137">
        <w:rPr>
          <w:rFonts w:ascii="Times New Roman" w:hAnsi="Times New Roman" w:cs="Times New Roman"/>
        </w:rPr>
        <w:t xml:space="preserve"> The substantial increase can be </w:t>
      </w:r>
      <w:r w:rsidR="000D1BAD" w:rsidRPr="00A12137">
        <w:rPr>
          <w:rFonts w:ascii="Times New Roman" w:hAnsi="Times New Roman" w:cs="Times New Roman"/>
        </w:rPr>
        <w:t>attributed to</w:t>
      </w:r>
      <w:r w:rsidR="00C1139A" w:rsidRPr="00A12137">
        <w:rPr>
          <w:rFonts w:ascii="Times New Roman" w:hAnsi="Times New Roman" w:cs="Times New Roman"/>
        </w:rPr>
        <w:t xml:space="preserve"> a</w:t>
      </w:r>
      <w:r w:rsidR="000D1BAD" w:rsidRPr="00A12137">
        <w:rPr>
          <w:rFonts w:ascii="Times New Roman" w:hAnsi="Times New Roman" w:cs="Times New Roman"/>
        </w:rPr>
        <w:t xml:space="preserve"> change in TSMC’s </w:t>
      </w:r>
      <w:r w:rsidR="00C1139A" w:rsidRPr="00A12137">
        <w:rPr>
          <w:rFonts w:ascii="Times New Roman" w:hAnsi="Times New Roman" w:cs="Times New Roman"/>
        </w:rPr>
        <w:t xml:space="preserve">financial strategy during this time, which essentially concerned </w:t>
      </w:r>
      <w:r w:rsidR="003F2739" w:rsidRPr="00A12137">
        <w:rPr>
          <w:rFonts w:ascii="Times New Roman" w:hAnsi="Times New Roman" w:cs="Times New Roman"/>
        </w:rPr>
        <w:t xml:space="preserve">significantly expanding their semiconductor manufacturing capabilities </w:t>
      </w:r>
      <w:r w:rsidR="00F6016A" w:rsidRPr="00A12137">
        <w:rPr>
          <w:rFonts w:ascii="Times New Roman" w:hAnsi="Times New Roman" w:cs="Times New Roman"/>
        </w:rPr>
        <w:t>to respond to increased demand from</w:t>
      </w:r>
      <w:r w:rsidR="005F6A2B" w:rsidRPr="00A12137">
        <w:rPr>
          <w:rFonts w:ascii="Times New Roman" w:hAnsi="Times New Roman" w:cs="Times New Roman"/>
        </w:rPr>
        <w:t xml:space="preserve"> firms that are engaging in producing new AI-related technologies. </w:t>
      </w:r>
      <w:r w:rsidR="00AD0C43" w:rsidRPr="00A12137">
        <w:rPr>
          <w:rFonts w:ascii="Times New Roman" w:hAnsi="Times New Roman" w:cs="Times New Roman"/>
        </w:rPr>
        <w:t xml:space="preserve">Moreover, this trend also </w:t>
      </w:r>
      <w:r w:rsidR="00360887" w:rsidRPr="00A12137">
        <w:rPr>
          <w:rFonts w:ascii="Times New Roman" w:hAnsi="Times New Roman" w:cs="Times New Roman"/>
        </w:rPr>
        <w:t xml:space="preserve">reflects the fact that TSMC has been </w:t>
      </w:r>
      <w:r w:rsidR="006D4006" w:rsidRPr="00A12137">
        <w:rPr>
          <w:rFonts w:ascii="Times New Roman" w:hAnsi="Times New Roman" w:cs="Times New Roman"/>
        </w:rPr>
        <w:t>investing more abroad</w:t>
      </w:r>
      <w:r w:rsidR="00ED0D2F" w:rsidRPr="00A12137">
        <w:rPr>
          <w:rFonts w:ascii="Times New Roman" w:hAnsi="Times New Roman" w:cs="Times New Roman"/>
        </w:rPr>
        <w:t xml:space="preserve"> due to its desire to diversify its manufacturing locations</w:t>
      </w:r>
      <w:r w:rsidR="00FD0BC2" w:rsidRPr="00A12137">
        <w:rPr>
          <w:rFonts w:ascii="Times New Roman" w:hAnsi="Times New Roman" w:cs="Times New Roman"/>
        </w:rPr>
        <w:t xml:space="preserve"> globally</w:t>
      </w:r>
      <w:r w:rsidR="005E66A8" w:rsidRPr="00A12137">
        <w:rPr>
          <w:rFonts w:ascii="Times New Roman" w:hAnsi="Times New Roman" w:cs="Times New Roman"/>
        </w:rPr>
        <w:t xml:space="preserve"> (TSMC, 202</w:t>
      </w:r>
      <w:r w:rsidR="00021588" w:rsidRPr="00A12137">
        <w:rPr>
          <w:rFonts w:ascii="Times New Roman" w:hAnsi="Times New Roman" w:cs="Times New Roman"/>
        </w:rPr>
        <w:t>6</w:t>
      </w:r>
      <w:r w:rsidR="005E66A8" w:rsidRPr="00A12137">
        <w:rPr>
          <w:rFonts w:ascii="Times New Roman" w:hAnsi="Times New Roman" w:cs="Times New Roman"/>
        </w:rPr>
        <w:t>).</w:t>
      </w:r>
    </w:p>
    <w:p w14:paraId="0E499D26" w14:textId="7E94D5CD" w:rsidR="00FD0BC2" w:rsidRPr="00A12137" w:rsidRDefault="00FD0BC2" w:rsidP="00CD28D4">
      <w:pPr>
        <w:spacing w:line="360" w:lineRule="auto"/>
        <w:ind w:firstLine="198"/>
        <w:jc w:val="both"/>
        <w:rPr>
          <w:rFonts w:ascii="Times New Roman" w:hAnsi="Times New Roman" w:cs="Times New Roman"/>
          <w:color w:val="000000" w:themeColor="text1"/>
        </w:rPr>
      </w:pPr>
      <w:r w:rsidRPr="00A12137">
        <w:rPr>
          <w:rFonts w:ascii="Times New Roman" w:hAnsi="Times New Roman" w:cs="Times New Roman"/>
          <w:color w:val="000000" w:themeColor="text1"/>
        </w:rPr>
        <w:t xml:space="preserve">However, this increase in CapEx </w:t>
      </w:r>
      <w:r w:rsidR="00A10E58" w:rsidRPr="00A12137">
        <w:rPr>
          <w:rFonts w:ascii="Times New Roman" w:hAnsi="Times New Roman" w:cs="Times New Roman"/>
          <w:color w:val="000000" w:themeColor="text1"/>
        </w:rPr>
        <w:t xml:space="preserve">also means that the company faces more financial risk when conducting its operations. </w:t>
      </w:r>
      <w:r w:rsidR="00B21D94" w:rsidRPr="00A12137">
        <w:rPr>
          <w:rFonts w:ascii="Times New Roman" w:hAnsi="Times New Roman" w:cs="Times New Roman"/>
          <w:color w:val="000000" w:themeColor="text1"/>
        </w:rPr>
        <w:t>Semiconductor m</w:t>
      </w:r>
      <w:r w:rsidR="00E563B3" w:rsidRPr="00A12137">
        <w:rPr>
          <w:rFonts w:ascii="Times New Roman" w:hAnsi="Times New Roman" w:cs="Times New Roman"/>
          <w:color w:val="000000" w:themeColor="text1"/>
        </w:rPr>
        <w:t xml:space="preserve">anufacturing facilities have to have </w:t>
      </w:r>
      <w:r w:rsidR="007957C9" w:rsidRPr="00A12137">
        <w:rPr>
          <w:rFonts w:ascii="Times New Roman" w:hAnsi="Times New Roman" w:cs="Times New Roman"/>
          <w:color w:val="000000" w:themeColor="text1"/>
        </w:rPr>
        <w:t xml:space="preserve">extremely large initial </w:t>
      </w:r>
      <w:r w:rsidR="00AC4812" w:rsidRPr="00A12137">
        <w:rPr>
          <w:rFonts w:ascii="Times New Roman" w:hAnsi="Times New Roman" w:cs="Times New Roman"/>
          <w:color w:val="000000" w:themeColor="text1"/>
        </w:rPr>
        <w:t>investments,</w:t>
      </w:r>
      <w:r w:rsidR="007957C9" w:rsidRPr="00A12137">
        <w:rPr>
          <w:rFonts w:ascii="Times New Roman" w:hAnsi="Times New Roman" w:cs="Times New Roman"/>
          <w:color w:val="000000" w:themeColor="text1"/>
        </w:rPr>
        <w:t xml:space="preserve"> and they have very long construction </w:t>
      </w:r>
      <w:r w:rsidR="00AC4812" w:rsidRPr="00A12137">
        <w:rPr>
          <w:rFonts w:ascii="Times New Roman" w:hAnsi="Times New Roman" w:cs="Times New Roman"/>
          <w:color w:val="000000" w:themeColor="text1"/>
        </w:rPr>
        <w:t xml:space="preserve">periods. Therefore, this means that the company is exposed to </w:t>
      </w:r>
      <w:r w:rsidR="00FD3836" w:rsidRPr="00A12137">
        <w:rPr>
          <w:rFonts w:ascii="Times New Roman" w:hAnsi="Times New Roman" w:cs="Times New Roman"/>
          <w:color w:val="000000" w:themeColor="text1"/>
        </w:rPr>
        <w:t xml:space="preserve">changes in interest rates, inflation and </w:t>
      </w:r>
      <w:r w:rsidR="00C14853" w:rsidRPr="00A12137">
        <w:rPr>
          <w:rFonts w:ascii="Times New Roman" w:hAnsi="Times New Roman" w:cs="Times New Roman"/>
          <w:color w:val="000000" w:themeColor="text1"/>
        </w:rPr>
        <w:t xml:space="preserve">the worsening of borrowing conditions in general. </w:t>
      </w:r>
      <w:r w:rsidR="00A500E2" w:rsidRPr="00A12137">
        <w:rPr>
          <w:rFonts w:ascii="Times New Roman" w:hAnsi="Times New Roman" w:cs="Times New Roman"/>
          <w:color w:val="000000" w:themeColor="text1"/>
        </w:rPr>
        <w:t>Rising interest rates can increase the cost of borrowing</w:t>
      </w:r>
      <w:r w:rsidR="00D40B1A" w:rsidRPr="00A12137">
        <w:rPr>
          <w:rFonts w:ascii="Times New Roman" w:hAnsi="Times New Roman" w:cs="Times New Roman"/>
          <w:color w:val="000000" w:themeColor="text1"/>
        </w:rPr>
        <w:t xml:space="preserve"> and reduce profitability for the company</w:t>
      </w:r>
      <w:r w:rsidR="00232A6A" w:rsidRPr="00A12137">
        <w:rPr>
          <w:rFonts w:ascii="Times New Roman" w:hAnsi="Times New Roman" w:cs="Times New Roman"/>
          <w:color w:val="000000" w:themeColor="text1"/>
        </w:rPr>
        <w:t>. On the other hand, inflation can increase the overall cost of production, wages, energy and raw materials.</w:t>
      </w:r>
      <w:r w:rsidR="007D57E4" w:rsidRPr="00A12137">
        <w:rPr>
          <w:rFonts w:ascii="Times New Roman" w:hAnsi="Times New Roman" w:cs="Times New Roman"/>
          <w:color w:val="000000" w:themeColor="text1"/>
        </w:rPr>
        <w:t xml:space="preserve"> TSMC’s ability to be flexible </w:t>
      </w:r>
      <w:r w:rsidR="002C73C3" w:rsidRPr="00A12137">
        <w:rPr>
          <w:rFonts w:ascii="Times New Roman" w:hAnsi="Times New Roman" w:cs="Times New Roman"/>
          <w:color w:val="000000" w:themeColor="text1"/>
        </w:rPr>
        <w:t xml:space="preserve">and be able to adjust its semiconductor production </w:t>
      </w:r>
      <w:r w:rsidR="000A62C5" w:rsidRPr="00A12137">
        <w:rPr>
          <w:rFonts w:ascii="Times New Roman" w:hAnsi="Times New Roman" w:cs="Times New Roman"/>
          <w:color w:val="000000" w:themeColor="text1"/>
        </w:rPr>
        <w:t>volume during periods of weaker demand depends on partially its capital expenditures.</w:t>
      </w:r>
      <w:r w:rsidR="00D45DFF" w:rsidRPr="00A12137">
        <w:rPr>
          <w:rFonts w:ascii="Times New Roman" w:hAnsi="Times New Roman" w:cs="Times New Roman"/>
          <w:color w:val="000000" w:themeColor="text1"/>
        </w:rPr>
        <w:t xml:space="preserve"> The reason for this is that </w:t>
      </w:r>
      <w:r w:rsidR="006246E5" w:rsidRPr="00A12137">
        <w:rPr>
          <w:rFonts w:ascii="Times New Roman" w:hAnsi="Times New Roman" w:cs="Times New Roman"/>
          <w:color w:val="000000" w:themeColor="text1"/>
        </w:rPr>
        <w:t xml:space="preserve">while higher capital expenditure can drive long-term </w:t>
      </w:r>
      <w:r w:rsidR="00C17BE1" w:rsidRPr="00A12137">
        <w:rPr>
          <w:rFonts w:ascii="Times New Roman" w:hAnsi="Times New Roman" w:cs="Times New Roman"/>
          <w:color w:val="000000" w:themeColor="text1"/>
        </w:rPr>
        <w:t xml:space="preserve">growth, it also increases the financial and operational risks for </w:t>
      </w:r>
      <w:r w:rsidR="009A35BF" w:rsidRPr="00A12137">
        <w:rPr>
          <w:rFonts w:ascii="Times New Roman" w:hAnsi="Times New Roman" w:cs="Times New Roman"/>
          <w:color w:val="000000" w:themeColor="text1"/>
        </w:rPr>
        <w:t>the company.</w:t>
      </w:r>
    </w:p>
    <w:p w14:paraId="289085FE" w14:textId="77777777" w:rsidR="00FD0BC2" w:rsidRPr="00A12137" w:rsidRDefault="00FD0BC2" w:rsidP="00B23954">
      <w:pPr>
        <w:spacing w:line="360" w:lineRule="auto"/>
        <w:jc w:val="both"/>
        <w:rPr>
          <w:rFonts w:ascii="Times New Roman" w:hAnsi="Times New Roman" w:cs="Times New Roman"/>
          <w:color w:val="000000" w:themeColor="text1"/>
        </w:rPr>
      </w:pPr>
    </w:p>
    <w:p w14:paraId="2C22863F" w14:textId="77777777" w:rsidR="00CD28D4" w:rsidRDefault="00CD28D4">
      <w:pPr>
        <w:rPr>
          <w:rFonts w:ascii="Times New Roman" w:hAnsi="Times New Roman" w:cs="Times New Roman"/>
          <w:color w:val="000000" w:themeColor="text1"/>
        </w:rPr>
      </w:pPr>
      <w:r>
        <w:rPr>
          <w:rFonts w:ascii="Times New Roman" w:hAnsi="Times New Roman" w:cs="Times New Roman"/>
          <w:color w:val="000000" w:themeColor="text1"/>
        </w:rPr>
        <w:br w:type="page"/>
      </w:r>
    </w:p>
    <w:p w14:paraId="47759AD2" w14:textId="6B405D53" w:rsidR="00692B11" w:rsidRPr="003307A6" w:rsidRDefault="00CF3D88" w:rsidP="00B23954">
      <w:pPr>
        <w:spacing w:line="360" w:lineRule="auto"/>
        <w:jc w:val="both"/>
        <w:rPr>
          <w:rFonts w:ascii="Times New Roman" w:hAnsi="Times New Roman" w:cs="Times New Roman"/>
          <w:i/>
          <w:iCs/>
          <w:color w:val="000000" w:themeColor="text1"/>
        </w:rPr>
      </w:pPr>
      <w:r w:rsidRPr="003307A6">
        <w:rPr>
          <w:rFonts w:ascii="Times New Roman" w:hAnsi="Times New Roman" w:cs="Times New Roman"/>
          <w:i/>
          <w:iCs/>
          <w:color w:val="000000" w:themeColor="text1"/>
        </w:rPr>
        <w:lastRenderedPageBreak/>
        <w:t>Figure 3.1.4: TSMC Capital Expenditure</w:t>
      </w:r>
    </w:p>
    <w:p w14:paraId="534BC3C0" w14:textId="294CAD14" w:rsidR="00087A56" w:rsidRPr="00A12137" w:rsidRDefault="00087A56" w:rsidP="00B23954">
      <w:pPr>
        <w:spacing w:line="360" w:lineRule="auto"/>
        <w:jc w:val="both"/>
        <w:rPr>
          <w:rFonts w:ascii="Times New Roman" w:hAnsi="Times New Roman" w:cs="Times New Roman"/>
          <w:color w:val="000000" w:themeColor="text1"/>
        </w:rPr>
      </w:pPr>
      <w:r w:rsidRPr="00A12137">
        <w:rPr>
          <w:rFonts w:ascii="Times New Roman" w:hAnsi="Times New Roman" w:cs="Times New Roman"/>
          <w:noProof/>
          <w:color w:val="000000" w:themeColor="text1"/>
        </w:rPr>
        <w:drawing>
          <wp:inline distT="0" distB="0" distL="0" distR="0" wp14:anchorId="61BEFE72" wp14:editId="232BE5C1">
            <wp:extent cx="5073805" cy="2818565"/>
            <wp:effectExtent l="12700" t="12700" r="6350" b="13970"/>
            <wp:docPr id="1484054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4382" name="Picture 14840543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06668" cy="2836821"/>
                    </a:xfrm>
                    <a:prstGeom prst="rect">
                      <a:avLst/>
                    </a:prstGeom>
                    <a:ln w="6350">
                      <a:solidFill>
                        <a:schemeClr val="tx1"/>
                      </a:solidFill>
                    </a:ln>
                  </pic:spPr>
                </pic:pic>
              </a:graphicData>
            </a:graphic>
          </wp:inline>
        </w:drawing>
      </w:r>
      <w:r w:rsidR="007757B6" w:rsidRPr="006122E8">
        <w:rPr>
          <w:rFonts w:ascii="Times New Roman" w:hAnsi="Times New Roman" w:cs="Times New Roman"/>
          <w:i/>
          <w:iCs/>
          <w:color w:val="000000" w:themeColor="text1"/>
          <w:sz w:val="16"/>
          <w:szCs w:val="16"/>
        </w:rPr>
        <w:t>(Note: 1.0=1,000,000 NT$ million)</w:t>
      </w:r>
    </w:p>
    <w:p w14:paraId="25E4B720" w14:textId="77777777" w:rsidR="009A35BF" w:rsidRPr="00A12137" w:rsidRDefault="009A35BF" w:rsidP="00B23954">
      <w:pPr>
        <w:spacing w:line="360" w:lineRule="auto"/>
        <w:jc w:val="both"/>
        <w:rPr>
          <w:rFonts w:ascii="Times New Roman" w:hAnsi="Times New Roman" w:cs="Times New Roman"/>
          <w:color w:val="000000" w:themeColor="text1"/>
        </w:rPr>
      </w:pPr>
    </w:p>
    <w:p w14:paraId="288742DF" w14:textId="20836130" w:rsidR="00274A5A" w:rsidRPr="00A12137" w:rsidRDefault="00BB194F" w:rsidP="00CD28D4">
      <w:pPr>
        <w:spacing w:line="360" w:lineRule="auto"/>
        <w:ind w:firstLine="198"/>
        <w:jc w:val="both"/>
        <w:rPr>
          <w:rFonts w:ascii="Times New Roman" w:hAnsi="Times New Roman" w:cs="Times New Roman"/>
          <w:color w:val="000000" w:themeColor="text1"/>
        </w:rPr>
      </w:pPr>
      <w:r w:rsidRPr="00A12137">
        <w:rPr>
          <w:rFonts w:ascii="Times New Roman" w:hAnsi="Times New Roman" w:cs="Times New Roman"/>
          <w:color w:val="000000" w:themeColor="text1"/>
        </w:rPr>
        <w:t>T</w:t>
      </w:r>
      <w:r w:rsidR="00A3339C" w:rsidRPr="00A12137">
        <w:rPr>
          <w:rFonts w:ascii="Times New Roman" w:hAnsi="Times New Roman" w:cs="Times New Roman"/>
          <w:color w:val="000000" w:themeColor="text1"/>
        </w:rPr>
        <w:t xml:space="preserve">SMC’s liquidity position </w:t>
      </w:r>
      <w:r w:rsidR="00380EF6" w:rsidRPr="00A12137">
        <w:rPr>
          <w:rFonts w:ascii="Times New Roman" w:hAnsi="Times New Roman" w:cs="Times New Roman"/>
          <w:color w:val="000000" w:themeColor="text1"/>
        </w:rPr>
        <w:t>can be seen in Figure 3.1.5, where it shows the company’s cash reserves and total liabilities.</w:t>
      </w:r>
      <w:r w:rsidR="00F30D1C" w:rsidRPr="00A12137">
        <w:rPr>
          <w:rFonts w:ascii="Times New Roman" w:hAnsi="Times New Roman" w:cs="Times New Roman"/>
          <w:color w:val="000000" w:themeColor="text1"/>
        </w:rPr>
        <w:t xml:space="preserve"> Cash holdings </w:t>
      </w:r>
      <w:r w:rsidR="005A7100" w:rsidRPr="00A12137">
        <w:rPr>
          <w:rFonts w:ascii="Times New Roman" w:hAnsi="Times New Roman" w:cs="Times New Roman"/>
          <w:color w:val="000000" w:themeColor="text1"/>
        </w:rPr>
        <w:t xml:space="preserve">increased from </w:t>
      </w:r>
      <w:r w:rsidR="000676CD" w:rsidRPr="00A12137">
        <w:rPr>
          <w:rFonts w:ascii="Times New Roman" w:hAnsi="Times New Roman" w:cs="Times New Roman"/>
          <w:color w:val="000000" w:themeColor="text1"/>
        </w:rPr>
        <w:t xml:space="preserve">NT$ </w:t>
      </w:r>
      <w:r w:rsidR="007C793B" w:rsidRPr="00A12137">
        <w:rPr>
          <w:rFonts w:ascii="Times New Roman" w:hAnsi="Times New Roman" w:cs="Times New Roman"/>
          <w:color w:val="000000" w:themeColor="text1"/>
        </w:rPr>
        <w:t xml:space="preserve">660 </w:t>
      </w:r>
      <w:r w:rsidR="000676CD" w:rsidRPr="00A12137">
        <w:rPr>
          <w:rFonts w:ascii="Times New Roman" w:hAnsi="Times New Roman" w:cs="Times New Roman"/>
          <w:color w:val="000000" w:themeColor="text1"/>
        </w:rPr>
        <w:t xml:space="preserve">billion to NT$ 2.7 </w:t>
      </w:r>
      <w:r w:rsidR="0098577A" w:rsidRPr="00A12137">
        <w:rPr>
          <w:rFonts w:ascii="Times New Roman" w:hAnsi="Times New Roman" w:cs="Times New Roman"/>
          <w:color w:val="000000" w:themeColor="text1"/>
        </w:rPr>
        <w:t xml:space="preserve">trillion during the period of between 2020 and 2025. Moreover, </w:t>
      </w:r>
      <w:r w:rsidR="003E198D" w:rsidRPr="00A12137">
        <w:rPr>
          <w:rFonts w:ascii="Times New Roman" w:hAnsi="Times New Roman" w:cs="Times New Roman"/>
          <w:color w:val="000000" w:themeColor="text1"/>
        </w:rPr>
        <w:t xml:space="preserve">total liabilities substantially increased too from NT$ 910 billion </w:t>
      </w:r>
      <w:r w:rsidR="008A0E7E" w:rsidRPr="00A12137">
        <w:rPr>
          <w:rFonts w:ascii="Times New Roman" w:hAnsi="Times New Roman" w:cs="Times New Roman"/>
          <w:color w:val="000000" w:themeColor="text1"/>
        </w:rPr>
        <w:t>to NT$ 2.47 trillion</w:t>
      </w:r>
      <w:r w:rsidR="00663268" w:rsidRPr="00A12137">
        <w:rPr>
          <w:rFonts w:ascii="Times New Roman" w:hAnsi="Times New Roman" w:cs="Times New Roman"/>
          <w:color w:val="000000" w:themeColor="text1"/>
        </w:rPr>
        <w:t xml:space="preserve">. </w:t>
      </w:r>
      <w:r w:rsidR="006B5055" w:rsidRPr="00A12137">
        <w:rPr>
          <w:rFonts w:ascii="Times New Roman" w:hAnsi="Times New Roman" w:cs="Times New Roman"/>
          <w:color w:val="000000" w:themeColor="text1"/>
        </w:rPr>
        <w:t xml:space="preserve">While the total liabilities </w:t>
      </w:r>
      <w:r w:rsidR="00904FE4" w:rsidRPr="00A12137">
        <w:rPr>
          <w:rFonts w:ascii="Times New Roman" w:hAnsi="Times New Roman" w:cs="Times New Roman"/>
          <w:color w:val="000000" w:themeColor="text1"/>
        </w:rPr>
        <w:t xml:space="preserve">grew, the amount of cash reserves steadily matched this increase and by 2025 cash reserves overtook the </w:t>
      </w:r>
      <w:r w:rsidR="00DC66C2" w:rsidRPr="00A12137">
        <w:rPr>
          <w:rFonts w:ascii="Times New Roman" w:hAnsi="Times New Roman" w:cs="Times New Roman"/>
          <w:color w:val="000000" w:themeColor="text1"/>
        </w:rPr>
        <w:t xml:space="preserve">total liabilities. This means that TSMC could maintain a stable </w:t>
      </w:r>
      <w:r w:rsidR="00B503ED" w:rsidRPr="00A12137">
        <w:rPr>
          <w:rFonts w:ascii="Times New Roman" w:hAnsi="Times New Roman" w:cs="Times New Roman"/>
          <w:color w:val="000000" w:themeColor="text1"/>
        </w:rPr>
        <w:t xml:space="preserve">financial buffer, while engaging in more investment activities and increasing operational </w:t>
      </w:r>
      <w:r w:rsidR="006F39D9" w:rsidRPr="00A12137">
        <w:rPr>
          <w:rFonts w:ascii="Times New Roman" w:hAnsi="Times New Roman" w:cs="Times New Roman"/>
          <w:color w:val="000000" w:themeColor="text1"/>
        </w:rPr>
        <w:t>expenditures. This stability is very important for a firm in the semiconductor industry, because of cy</w:t>
      </w:r>
      <w:r w:rsidR="008B518F" w:rsidRPr="00A12137">
        <w:rPr>
          <w:rFonts w:ascii="Times New Roman" w:hAnsi="Times New Roman" w:cs="Times New Roman"/>
          <w:color w:val="000000" w:themeColor="text1"/>
        </w:rPr>
        <w:t>clical demand fluctuations and rising financing costs.</w:t>
      </w:r>
      <w:r w:rsidR="00274A5A" w:rsidRPr="00A12137">
        <w:rPr>
          <w:rFonts w:ascii="Times New Roman" w:hAnsi="Times New Roman" w:cs="Times New Roman"/>
          <w:color w:val="000000" w:themeColor="text1"/>
        </w:rPr>
        <w:t xml:space="preserve"> </w:t>
      </w:r>
    </w:p>
    <w:p w14:paraId="3DED7A8C" w14:textId="40EE0342" w:rsidR="005705C2" w:rsidRDefault="00E52913" w:rsidP="00062F63">
      <w:pPr>
        <w:spacing w:line="360" w:lineRule="auto"/>
        <w:ind w:firstLine="198"/>
        <w:jc w:val="both"/>
        <w:rPr>
          <w:rFonts w:ascii="Times New Roman" w:hAnsi="Times New Roman" w:cs="Times New Roman"/>
          <w:color w:val="000000" w:themeColor="text1"/>
        </w:rPr>
      </w:pPr>
      <w:r w:rsidRPr="00A12137">
        <w:rPr>
          <w:rFonts w:ascii="Times New Roman" w:hAnsi="Times New Roman" w:cs="Times New Roman"/>
          <w:color w:val="000000" w:themeColor="text1"/>
        </w:rPr>
        <w:t xml:space="preserve">The rapid rise of TSMC’s total liabilities can be explained by the company’s </w:t>
      </w:r>
      <w:r w:rsidR="00375A32" w:rsidRPr="00A12137">
        <w:rPr>
          <w:rFonts w:ascii="Times New Roman" w:hAnsi="Times New Roman" w:cs="Times New Roman"/>
          <w:color w:val="000000" w:themeColor="text1"/>
        </w:rPr>
        <w:t>decision to expand aggressively</w:t>
      </w:r>
      <w:r w:rsidR="009E376B" w:rsidRPr="00A12137">
        <w:rPr>
          <w:rFonts w:ascii="Times New Roman" w:hAnsi="Times New Roman" w:cs="Times New Roman"/>
          <w:color w:val="000000" w:themeColor="text1"/>
        </w:rPr>
        <w:t xml:space="preserve"> its production capacities and also increase investments. The company does this</w:t>
      </w:r>
      <w:r w:rsidR="00052647" w:rsidRPr="00A12137">
        <w:rPr>
          <w:rFonts w:ascii="Times New Roman" w:hAnsi="Times New Roman" w:cs="Times New Roman"/>
          <w:color w:val="000000" w:themeColor="text1"/>
        </w:rPr>
        <w:t xml:space="preserve"> to prepare for the potential </w:t>
      </w:r>
      <w:r w:rsidR="007B163A" w:rsidRPr="00A12137">
        <w:rPr>
          <w:rFonts w:ascii="Times New Roman" w:hAnsi="Times New Roman" w:cs="Times New Roman"/>
          <w:color w:val="000000" w:themeColor="text1"/>
        </w:rPr>
        <w:t xml:space="preserve">scenario </w:t>
      </w:r>
      <w:r w:rsidR="00052647" w:rsidRPr="00A12137">
        <w:rPr>
          <w:rFonts w:ascii="Times New Roman" w:hAnsi="Times New Roman" w:cs="Times New Roman"/>
          <w:color w:val="000000" w:themeColor="text1"/>
        </w:rPr>
        <w:t xml:space="preserve">that new technological </w:t>
      </w:r>
      <w:r w:rsidR="00A90008" w:rsidRPr="00A12137">
        <w:rPr>
          <w:rFonts w:ascii="Times New Roman" w:hAnsi="Times New Roman" w:cs="Times New Roman"/>
          <w:color w:val="000000" w:themeColor="text1"/>
        </w:rPr>
        <w:t>advancements in A</w:t>
      </w:r>
      <w:r w:rsidR="007B163A" w:rsidRPr="00A12137">
        <w:rPr>
          <w:rFonts w:ascii="Times New Roman" w:hAnsi="Times New Roman" w:cs="Times New Roman"/>
          <w:color w:val="000000" w:themeColor="text1"/>
        </w:rPr>
        <w:t>I,</w:t>
      </w:r>
      <w:r w:rsidR="00A90008" w:rsidRPr="00A12137">
        <w:rPr>
          <w:rFonts w:ascii="Times New Roman" w:hAnsi="Times New Roman" w:cs="Times New Roman"/>
          <w:color w:val="000000" w:themeColor="text1"/>
        </w:rPr>
        <w:t xml:space="preserve"> </w:t>
      </w:r>
      <w:r w:rsidR="00D63BBE" w:rsidRPr="00A12137">
        <w:rPr>
          <w:rFonts w:ascii="Times New Roman" w:hAnsi="Times New Roman" w:cs="Times New Roman"/>
          <w:color w:val="000000" w:themeColor="text1"/>
        </w:rPr>
        <w:t>Deep learning</w:t>
      </w:r>
      <w:r w:rsidR="007B163A" w:rsidRPr="00A12137">
        <w:rPr>
          <w:rFonts w:ascii="Times New Roman" w:hAnsi="Times New Roman" w:cs="Times New Roman"/>
          <w:color w:val="000000" w:themeColor="text1"/>
        </w:rPr>
        <w:t xml:space="preserve"> or other related technologies</w:t>
      </w:r>
      <w:r w:rsidR="00D63BBE" w:rsidRPr="00A12137">
        <w:rPr>
          <w:rFonts w:ascii="Times New Roman" w:hAnsi="Times New Roman" w:cs="Times New Roman"/>
          <w:color w:val="000000" w:themeColor="text1"/>
        </w:rPr>
        <w:t xml:space="preserve"> will increase the demand for semiconductors </w:t>
      </w:r>
      <w:r w:rsidR="007B163A" w:rsidRPr="00A12137">
        <w:rPr>
          <w:rFonts w:ascii="Times New Roman" w:hAnsi="Times New Roman" w:cs="Times New Roman"/>
          <w:color w:val="000000" w:themeColor="text1"/>
        </w:rPr>
        <w:t>and further grow the semiconductor market.</w:t>
      </w:r>
      <w:r w:rsidR="005705C2">
        <w:rPr>
          <w:rFonts w:ascii="Times New Roman" w:hAnsi="Times New Roman" w:cs="Times New Roman"/>
          <w:color w:val="000000" w:themeColor="text1"/>
        </w:rPr>
        <w:br w:type="page"/>
      </w:r>
    </w:p>
    <w:p w14:paraId="0E92AA62" w14:textId="34F22B66" w:rsidR="00274A5A" w:rsidRPr="003307A6" w:rsidRDefault="00CF3D88" w:rsidP="00B23954">
      <w:pPr>
        <w:spacing w:line="360" w:lineRule="auto"/>
        <w:jc w:val="both"/>
        <w:rPr>
          <w:rFonts w:ascii="Times New Roman" w:hAnsi="Times New Roman" w:cs="Times New Roman"/>
          <w:i/>
          <w:iCs/>
          <w:color w:val="000000" w:themeColor="text1"/>
        </w:rPr>
      </w:pPr>
      <w:r w:rsidRPr="003307A6">
        <w:rPr>
          <w:rFonts w:ascii="Times New Roman" w:hAnsi="Times New Roman" w:cs="Times New Roman"/>
          <w:i/>
          <w:iCs/>
          <w:color w:val="000000" w:themeColor="text1"/>
        </w:rPr>
        <w:lastRenderedPageBreak/>
        <w:t>Figure 3.1.5: TSMC Cash and Total Liabilities</w:t>
      </w:r>
      <w:r w:rsidR="00675005">
        <w:rPr>
          <w:rFonts w:ascii="Times New Roman" w:hAnsi="Times New Roman" w:cs="Times New Roman"/>
          <w:i/>
          <w:iCs/>
          <w:color w:val="000000" w:themeColor="text1"/>
        </w:rPr>
        <w:t xml:space="preserve"> </w:t>
      </w:r>
    </w:p>
    <w:p w14:paraId="7C4ECDFE" w14:textId="6685A6E2" w:rsidR="00087A56" w:rsidRPr="00A12137" w:rsidRDefault="00087A56" w:rsidP="00B23954">
      <w:pPr>
        <w:spacing w:line="360" w:lineRule="auto"/>
        <w:jc w:val="both"/>
        <w:rPr>
          <w:rFonts w:ascii="Times New Roman" w:hAnsi="Times New Roman" w:cs="Times New Roman"/>
          <w:color w:val="000000" w:themeColor="text1"/>
        </w:rPr>
      </w:pPr>
      <w:r w:rsidRPr="00A12137">
        <w:rPr>
          <w:rFonts w:ascii="Times New Roman" w:hAnsi="Times New Roman" w:cs="Times New Roman"/>
          <w:noProof/>
          <w:color w:val="000000" w:themeColor="text1"/>
        </w:rPr>
        <w:drawing>
          <wp:inline distT="0" distB="0" distL="0" distR="0" wp14:anchorId="2001839C" wp14:editId="0A3B41D0">
            <wp:extent cx="4984595" cy="2769008"/>
            <wp:effectExtent l="12700" t="12700" r="6985" b="12700"/>
            <wp:docPr id="1397514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14154" name="Picture 13975141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0216" cy="2788796"/>
                    </a:xfrm>
                    <a:prstGeom prst="rect">
                      <a:avLst/>
                    </a:prstGeom>
                    <a:ln w="6350">
                      <a:solidFill>
                        <a:schemeClr val="tx1"/>
                      </a:solidFill>
                    </a:ln>
                  </pic:spPr>
                </pic:pic>
              </a:graphicData>
            </a:graphic>
          </wp:inline>
        </w:drawing>
      </w:r>
      <w:r w:rsidR="006122E8" w:rsidRPr="006122E8">
        <w:rPr>
          <w:rFonts w:ascii="Times New Roman" w:hAnsi="Times New Roman" w:cs="Times New Roman"/>
          <w:i/>
          <w:iCs/>
          <w:color w:val="000000" w:themeColor="text1"/>
          <w:sz w:val="16"/>
          <w:szCs w:val="16"/>
        </w:rPr>
        <w:t>(Note: 1.0=1,000,000 NT$ million)</w:t>
      </w:r>
    </w:p>
    <w:p w14:paraId="2AE20A84" w14:textId="77777777" w:rsidR="009A35BF" w:rsidRPr="00A12137" w:rsidRDefault="009A35BF" w:rsidP="00B23954">
      <w:pPr>
        <w:spacing w:line="360" w:lineRule="auto"/>
        <w:jc w:val="both"/>
        <w:rPr>
          <w:rFonts w:ascii="Times New Roman" w:hAnsi="Times New Roman" w:cs="Times New Roman"/>
          <w:color w:val="000000" w:themeColor="text1"/>
        </w:rPr>
      </w:pPr>
    </w:p>
    <w:p w14:paraId="4E15B375" w14:textId="70ECEDFE" w:rsidR="009A35BF" w:rsidRPr="00A12137" w:rsidRDefault="00E60BA2" w:rsidP="00CD28D4">
      <w:pPr>
        <w:spacing w:line="360" w:lineRule="auto"/>
        <w:ind w:firstLine="198"/>
        <w:jc w:val="both"/>
        <w:rPr>
          <w:rFonts w:ascii="Times New Roman" w:hAnsi="Times New Roman" w:cs="Times New Roman"/>
          <w:color w:val="000000" w:themeColor="text1"/>
        </w:rPr>
      </w:pPr>
      <w:r w:rsidRPr="00A12137">
        <w:rPr>
          <w:rFonts w:ascii="Times New Roman" w:hAnsi="Times New Roman" w:cs="Times New Roman"/>
          <w:color w:val="000000" w:themeColor="text1"/>
        </w:rPr>
        <w:t xml:space="preserve">Figure 3.1.6 </w:t>
      </w:r>
      <w:r w:rsidR="00C77BE6" w:rsidRPr="00A12137">
        <w:rPr>
          <w:rFonts w:ascii="Times New Roman" w:hAnsi="Times New Roman" w:cs="Times New Roman"/>
          <w:color w:val="000000" w:themeColor="text1"/>
        </w:rPr>
        <w:t xml:space="preserve">represents how TSMC’s net profit margin, which is the value calculated by </w:t>
      </w:r>
      <w:r w:rsidR="00CB7394" w:rsidRPr="00A12137">
        <w:rPr>
          <w:rFonts w:ascii="Times New Roman" w:hAnsi="Times New Roman" w:cs="Times New Roman"/>
          <w:color w:val="000000" w:themeColor="text1"/>
        </w:rPr>
        <w:t>dividing net income by revenues</w:t>
      </w:r>
      <w:r w:rsidR="00C32D75" w:rsidRPr="00A12137">
        <w:rPr>
          <w:rFonts w:ascii="Times New Roman" w:hAnsi="Times New Roman" w:cs="Times New Roman"/>
          <w:color w:val="000000" w:themeColor="text1"/>
        </w:rPr>
        <w:t xml:space="preserve">. This estimate remained significantly </w:t>
      </w:r>
      <w:r w:rsidR="00390F85" w:rsidRPr="00A12137">
        <w:rPr>
          <w:rFonts w:ascii="Times New Roman" w:hAnsi="Times New Roman" w:cs="Times New Roman"/>
          <w:color w:val="000000" w:themeColor="text1"/>
        </w:rPr>
        <w:t xml:space="preserve">strong, </w:t>
      </w:r>
      <w:r w:rsidR="00BA32FF" w:rsidRPr="00A12137">
        <w:rPr>
          <w:rFonts w:ascii="Times New Roman" w:hAnsi="Times New Roman" w:cs="Times New Roman"/>
          <w:color w:val="000000" w:themeColor="text1"/>
        </w:rPr>
        <w:t xml:space="preserve">especially </w:t>
      </w:r>
      <w:r w:rsidR="00390F85" w:rsidRPr="00A12137">
        <w:rPr>
          <w:rFonts w:ascii="Times New Roman" w:hAnsi="Times New Roman" w:cs="Times New Roman"/>
          <w:color w:val="000000" w:themeColor="text1"/>
        </w:rPr>
        <w:t xml:space="preserve">considering that the period between 2020 and 2025 </w:t>
      </w:r>
      <w:r w:rsidR="00BA32FF" w:rsidRPr="00A12137">
        <w:rPr>
          <w:rFonts w:ascii="Times New Roman" w:hAnsi="Times New Roman" w:cs="Times New Roman"/>
          <w:color w:val="000000" w:themeColor="text1"/>
        </w:rPr>
        <w:t xml:space="preserve">had many geopolitical crises, inflationary pressures and rising interest rates that could have affected the company’s profitability more. </w:t>
      </w:r>
      <w:r w:rsidR="0067509B" w:rsidRPr="00A12137">
        <w:rPr>
          <w:rFonts w:ascii="Times New Roman" w:hAnsi="Times New Roman" w:cs="Times New Roman"/>
          <w:color w:val="000000" w:themeColor="text1"/>
        </w:rPr>
        <w:t xml:space="preserve">As the net profit margin remained </w:t>
      </w:r>
      <w:r w:rsidR="00F66605" w:rsidRPr="00A12137">
        <w:rPr>
          <w:rFonts w:ascii="Times New Roman" w:hAnsi="Times New Roman" w:cs="Times New Roman"/>
          <w:color w:val="000000" w:themeColor="text1"/>
        </w:rPr>
        <w:t xml:space="preserve">inside the 37% and 45% range, the company could </w:t>
      </w:r>
      <w:r w:rsidR="003832D0" w:rsidRPr="00A12137">
        <w:rPr>
          <w:rFonts w:ascii="Times New Roman" w:hAnsi="Times New Roman" w:cs="Times New Roman"/>
          <w:color w:val="000000" w:themeColor="text1"/>
        </w:rPr>
        <w:t>internally finance its investments, at the same time relying less on borrowing externally.</w:t>
      </w:r>
    </w:p>
    <w:p w14:paraId="17E348EC" w14:textId="77777777" w:rsidR="00692B11" w:rsidRPr="00A12137" w:rsidRDefault="00692B11" w:rsidP="00B23954">
      <w:pPr>
        <w:spacing w:line="360" w:lineRule="auto"/>
        <w:jc w:val="both"/>
        <w:rPr>
          <w:rFonts w:ascii="Times New Roman" w:hAnsi="Times New Roman" w:cs="Times New Roman"/>
          <w:color w:val="000000" w:themeColor="text1"/>
        </w:rPr>
      </w:pPr>
    </w:p>
    <w:p w14:paraId="642558DB" w14:textId="71FC0BC5" w:rsidR="00692B11" w:rsidRPr="003307A6" w:rsidRDefault="00CF3D88" w:rsidP="00B23954">
      <w:pPr>
        <w:spacing w:line="360" w:lineRule="auto"/>
        <w:jc w:val="both"/>
        <w:rPr>
          <w:rFonts w:ascii="Times New Roman" w:hAnsi="Times New Roman" w:cs="Times New Roman"/>
          <w:i/>
          <w:iCs/>
          <w:color w:val="000000" w:themeColor="text1"/>
        </w:rPr>
      </w:pPr>
      <w:r w:rsidRPr="003307A6">
        <w:rPr>
          <w:rFonts w:ascii="Times New Roman" w:hAnsi="Times New Roman" w:cs="Times New Roman"/>
          <w:i/>
          <w:iCs/>
          <w:color w:val="000000" w:themeColor="text1"/>
        </w:rPr>
        <w:t>Figure 3.1.6: TSMC Net Profit Margin</w:t>
      </w:r>
    </w:p>
    <w:p w14:paraId="4C6FBCCF" w14:textId="6DFDDAED" w:rsidR="00CF3D88" w:rsidRPr="00A12137" w:rsidRDefault="00087A56" w:rsidP="00B23954">
      <w:pPr>
        <w:spacing w:line="360" w:lineRule="auto"/>
        <w:jc w:val="both"/>
        <w:rPr>
          <w:rFonts w:ascii="Times New Roman" w:hAnsi="Times New Roman" w:cs="Times New Roman"/>
          <w:color w:val="000000" w:themeColor="text1"/>
        </w:rPr>
      </w:pPr>
      <w:r w:rsidRPr="00A12137">
        <w:rPr>
          <w:rFonts w:ascii="Times New Roman" w:hAnsi="Times New Roman" w:cs="Times New Roman"/>
          <w:noProof/>
          <w:color w:val="000000" w:themeColor="text1"/>
        </w:rPr>
        <w:drawing>
          <wp:inline distT="0" distB="0" distL="0" distR="0" wp14:anchorId="3EC498C7" wp14:editId="428489D9">
            <wp:extent cx="4984115" cy="2768741"/>
            <wp:effectExtent l="12700" t="12700" r="6985" b="12700"/>
            <wp:docPr id="572599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99148" name="Picture 5725991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06992" cy="2781450"/>
                    </a:xfrm>
                    <a:prstGeom prst="rect">
                      <a:avLst/>
                    </a:prstGeom>
                    <a:ln w="6350">
                      <a:solidFill>
                        <a:schemeClr val="tx1"/>
                      </a:solidFill>
                    </a:ln>
                  </pic:spPr>
                </pic:pic>
              </a:graphicData>
            </a:graphic>
          </wp:inline>
        </w:drawing>
      </w:r>
    </w:p>
    <w:p w14:paraId="4B64931D" w14:textId="77777777" w:rsidR="00FF123C" w:rsidRPr="00A12137" w:rsidRDefault="00FF123C" w:rsidP="00B23954">
      <w:pPr>
        <w:spacing w:line="360" w:lineRule="auto"/>
        <w:jc w:val="both"/>
        <w:rPr>
          <w:rFonts w:ascii="Times New Roman" w:hAnsi="Times New Roman" w:cs="Times New Roman"/>
          <w:color w:val="000000" w:themeColor="text1"/>
        </w:rPr>
      </w:pPr>
    </w:p>
    <w:p w14:paraId="208F03A8" w14:textId="2D50E925" w:rsidR="00FF123C" w:rsidRPr="00A12137" w:rsidRDefault="00FF123C" w:rsidP="00CD28D4">
      <w:pPr>
        <w:spacing w:line="360" w:lineRule="auto"/>
        <w:ind w:firstLine="198"/>
        <w:jc w:val="both"/>
        <w:rPr>
          <w:rFonts w:ascii="Times New Roman" w:hAnsi="Times New Roman" w:cs="Times New Roman"/>
          <w:color w:val="000000" w:themeColor="text1"/>
        </w:rPr>
      </w:pPr>
      <w:r w:rsidRPr="00A12137">
        <w:rPr>
          <w:rFonts w:ascii="Times New Roman" w:hAnsi="Times New Roman" w:cs="Times New Roman"/>
          <w:color w:val="000000" w:themeColor="text1"/>
        </w:rPr>
        <w:t xml:space="preserve">To summarize, all of these figures show that TSMC remained in a strong financial </w:t>
      </w:r>
      <w:r w:rsidR="002A3D6F" w:rsidRPr="00A12137">
        <w:rPr>
          <w:rFonts w:ascii="Times New Roman" w:hAnsi="Times New Roman" w:cs="Times New Roman"/>
          <w:color w:val="000000" w:themeColor="text1"/>
        </w:rPr>
        <w:t xml:space="preserve">position between the period of 2020 and 2025, despite facing increasing financial and strategic risks. TSMC managed to increase </w:t>
      </w:r>
      <w:r w:rsidR="00A75F48" w:rsidRPr="00A12137">
        <w:rPr>
          <w:rFonts w:ascii="Times New Roman" w:hAnsi="Times New Roman" w:cs="Times New Roman"/>
          <w:color w:val="000000" w:themeColor="text1"/>
        </w:rPr>
        <w:t xml:space="preserve">its liquidity, revenues, profitability and also </w:t>
      </w:r>
      <w:r w:rsidR="00966B10" w:rsidRPr="00A12137">
        <w:rPr>
          <w:rFonts w:ascii="Times New Roman" w:hAnsi="Times New Roman" w:cs="Times New Roman"/>
          <w:color w:val="000000" w:themeColor="text1"/>
        </w:rPr>
        <w:t xml:space="preserve">its cash reserves. </w:t>
      </w:r>
      <w:r w:rsidR="0030600D" w:rsidRPr="00A12137">
        <w:rPr>
          <w:rFonts w:ascii="Times New Roman" w:hAnsi="Times New Roman" w:cs="Times New Roman"/>
          <w:color w:val="000000" w:themeColor="text1"/>
        </w:rPr>
        <w:t xml:space="preserve">However, </w:t>
      </w:r>
      <w:r w:rsidR="00F34306" w:rsidRPr="00A12137">
        <w:rPr>
          <w:rFonts w:ascii="Times New Roman" w:hAnsi="Times New Roman" w:cs="Times New Roman"/>
          <w:color w:val="000000" w:themeColor="text1"/>
        </w:rPr>
        <w:t xml:space="preserve">while these numbers show a very </w:t>
      </w:r>
      <w:r w:rsidR="00F34306" w:rsidRPr="00A12137">
        <w:rPr>
          <w:rFonts w:ascii="Times New Roman" w:hAnsi="Times New Roman" w:cs="Times New Roman"/>
          <w:color w:val="000000" w:themeColor="text1"/>
        </w:rPr>
        <w:lastRenderedPageBreak/>
        <w:t xml:space="preserve">positive picture at this current moment, it is important to note that TSMC is </w:t>
      </w:r>
      <w:r w:rsidR="0070587F" w:rsidRPr="00A12137">
        <w:rPr>
          <w:rFonts w:ascii="Times New Roman" w:hAnsi="Times New Roman" w:cs="Times New Roman"/>
          <w:color w:val="000000" w:themeColor="text1"/>
        </w:rPr>
        <w:t>more exposed to interest rate risk, exchange rate risk</w:t>
      </w:r>
      <w:r w:rsidR="00AE7BE6" w:rsidRPr="00A12137">
        <w:rPr>
          <w:rFonts w:ascii="Times New Roman" w:hAnsi="Times New Roman" w:cs="Times New Roman"/>
          <w:color w:val="000000" w:themeColor="text1"/>
        </w:rPr>
        <w:t>, inflation risk and geopolitical risk than it was in previous periods.</w:t>
      </w:r>
    </w:p>
    <w:p w14:paraId="5FF8C215" w14:textId="6918FCF2" w:rsidR="004747DE" w:rsidRPr="004747DE" w:rsidRDefault="14DC0C33" w:rsidP="004747DE">
      <w:pPr>
        <w:pStyle w:val="Heading2"/>
        <w:spacing w:line="360" w:lineRule="auto"/>
        <w:rPr>
          <w:rFonts w:ascii="Times New Roman" w:hAnsi="Times New Roman" w:cs="Times New Roman"/>
          <w:color w:val="000000" w:themeColor="text1"/>
        </w:rPr>
      </w:pPr>
      <w:bookmarkStart w:id="9" w:name="_Toc230603271"/>
      <w:r w:rsidRPr="00A12137">
        <w:rPr>
          <w:rFonts w:ascii="Times New Roman" w:hAnsi="Times New Roman" w:cs="Times New Roman"/>
        </w:rPr>
        <w:t>3.</w:t>
      </w:r>
      <w:r w:rsidR="00EB6770" w:rsidRPr="00A12137">
        <w:rPr>
          <w:rFonts w:ascii="Times New Roman" w:hAnsi="Times New Roman" w:cs="Times New Roman"/>
        </w:rPr>
        <w:t>2</w:t>
      </w:r>
      <w:r w:rsidRPr="00A12137">
        <w:rPr>
          <w:rFonts w:ascii="Times New Roman" w:hAnsi="Times New Roman" w:cs="Times New Roman"/>
        </w:rPr>
        <w:t>. Analysis of Interest rate risk</w:t>
      </w:r>
      <w:bookmarkEnd w:id="9"/>
    </w:p>
    <w:p w14:paraId="1C5498A2" w14:textId="6A12C23C" w:rsidR="00F95269" w:rsidRDefault="00DC64C0" w:rsidP="0077087A">
      <w:pPr>
        <w:spacing w:line="360" w:lineRule="auto"/>
        <w:ind w:firstLine="198"/>
        <w:jc w:val="both"/>
        <w:rPr>
          <w:rFonts w:ascii="Times New Roman" w:hAnsi="Times New Roman" w:cs="Times New Roman"/>
        </w:rPr>
      </w:pPr>
      <w:r>
        <w:rPr>
          <w:rFonts w:ascii="Times New Roman" w:hAnsi="Times New Roman" w:cs="Times New Roman"/>
        </w:rPr>
        <w:t xml:space="preserve">The period between 2020 and 2025 </w:t>
      </w:r>
      <w:r w:rsidR="003745E5">
        <w:rPr>
          <w:rFonts w:ascii="Times New Roman" w:hAnsi="Times New Roman" w:cs="Times New Roman"/>
        </w:rPr>
        <w:t>was characterized by severa</w:t>
      </w:r>
      <w:r w:rsidR="00BF1CEB">
        <w:rPr>
          <w:rFonts w:ascii="Times New Roman" w:hAnsi="Times New Roman" w:cs="Times New Roman"/>
        </w:rPr>
        <w:t xml:space="preserve">l economic shocks that came from unexpected developments, these include the COVID-19 pandemic and </w:t>
      </w:r>
      <w:r w:rsidR="00AB2DFB">
        <w:rPr>
          <w:rFonts w:ascii="Times New Roman" w:hAnsi="Times New Roman" w:cs="Times New Roman"/>
        </w:rPr>
        <w:t xml:space="preserve">geopolitical conflicts, such as the war in Ukraine. This </w:t>
      </w:r>
      <w:r w:rsidR="00605DEC">
        <w:rPr>
          <w:rFonts w:ascii="Times New Roman" w:hAnsi="Times New Roman" w:cs="Times New Roman"/>
        </w:rPr>
        <w:t xml:space="preserve">increased uncertainty created inflationary pressures in </w:t>
      </w:r>
      <w:r w:rsidR="00093167">
        <w:rPr>
          <w:rFonts w:ascii="Times New Roman" w:hAnsi="Times New Roman" w:cs="Times New Roman"/>
        </w:rPr>
        <w:t xml:space="preserve">most of the world’s economies and central banks responded with raising interest rates relatively sharply. </w:t>
      </w:r>
      <w:r w:rsidR="001C3EF8">
        <w:rPr>
          <w:rFonts w:ascii="Times New Roman" w:hAnsi="Times New Roman" w:cs="Times New Roman"/>
        </w:rPr>
        <w:t xml:space="preserve">As it was </w:t>
      </w:r>
      <w:r w:rsidR="00AC59B9">
        <w:rPr>
          <w:rFonts w:ascii="Times New Roman" w:hAnsi="Times New Roman" w:cs="Times New Roman"/>
        </w:rPr>
        <w:t xml:space="preserve">previously discussed in the theoretical framework, </w:t>
      </w:r>
      <w:r w:rsidR="003064FF">
        <w:rPr>
          <w:rFonts w:ascii="Times New Roman" w:hAnsi="Times New Roman" w:cs="Times New Roman"/>
        </w:rPr>
        <w:t xml:space="preserve">these higher interest-rates </w:t>
      </w:r>
      <w:r w:rsidR="005F1F38">
        <w:rPr>
          <w:rFonts w:ascii="Times New Roman" w:hAnsi="Times New Roman" w:cs="Times New Roman"/>
        </w:rPr>
        <w:t>make the cost of borrowing go up and hurt firm’s profitability, such as TSMC</w:t>
      </w:r>
      <w:r w:rsidR="00946551">
        <w:rPr>
          <w:rFonts w:ascii="Times New Roman" w:hAnsi="Times New Roman" w:cs="Times New Roman"/>
        </w:rPr>
        <w:t xml:space="preserve"> (Alvarez et al., 2001)</w:t>
      </w:r>
      <w:r w:rsidR="005F1F38">
        <w:rPr>
          <w:rFonts w:ascii="Times New Roman" w:hAnsi="Times New Roman" w:cs="Times New Roman"/>
        </w:rPr>
        <w:t xml:space="preserve">. </w:t>
      </w:r>
    </w:p>
    <w:p w14:paraId="557F64CD" w14:textId="61A747F2" w:rsidR="00087A56" w:rsidRDefault="005F1F38" w:rsidP="0077087A">
      <w:pPr>
        <w:spacing w:line="360" w:lineRule="auto"/>
        <w:ind w:firstLine="198"/>
        <w:jc w:val="both"/>
        <w:rPr>
          <w:rFonts w:ascii="Times New Roman" w:hAnsi="Times New Roman" w:cs="Times New Roman"/>
        </w:rPr>
      </w:pPr>
      <w:r>
        <w:rPr>
          <w:rFonts w:ascii="Times New Roman" w:hAnsi="Times New Roman" w:cs="Times New Roman"/>
        </w:rPr>
        <w:t>Specifically, i</w:t>
      </w:r>
      <w:r w:rsidR="004747DE" w:rsidRPr="004747DE">
        <w:rPr>
          <w:rFonts w:ascii="Times New Roman" w:hAnsi="Times New Roman" w:cs="Times New Roman"/>
        </w:rPr>
        <w:t xml:space="preserve">n the case of TSMC, interest rate fluctuations not only have an impact on the company’s fixed income investments, but also on the cost of capital and future investment decisions. In order to manage </w:t>
      </w:r>
      <w:r w:rsidR="00946551">
        <w:rPr>
          <w:rFonts w:ascii="Times New Roman" w:hAnsi="Times New Roman" w:cs="Times New Roman"/>
        </w:rPr>
        <w:t>this</w:t>
      </w:r>
      <w:r w:rsidR="004747DE" w:rsidRPr="004747DE">
        <w:rPr>
          <w:rFonts w:ascii="Times New Roman" w:hAnsi="Times New Roman" w:cs="Times New Roman"/>
        </w:rPr>
        <w:t xml:space="preserve"> interest rate risk, TSMC use</w:t>
      </w:r>
      <w:r w:rsidR="00946551">
        <w:rPr>
          <w:rFonts w:ascii="Times New Roman" w:hAnsi="Times New Roman" w:cs="Times New Roman"/>
        </w:rPr>
        <w:t>s</w:t>
      </w:r>
      <w:r w:rsidR="004747DE" w:rsidRPr="004747DE">
        <w:rPr>
          <w:rFonts w:ascii="Times New Roman" w:hAnsi="Times New Roman" w:cs="Times New Roman"/>
        </w:rPr>
        <w:t xml:space="preserve"> fair value hedging</w:t>
      </w:r>
      <w:r w:rsidR="00B6569E">
        <w:rPr>
          <w:rFonts w:ascii="Times New Roman" w:hAnsi="Times New Roman" w:cs="Times New Roman"/>
        </w:rPr>
        <w:t xml:space="preserve">, which is a hedging strategy </w:t>
      </w:r>
      <w:r w:rsidR="002B1C35">
        <w:rPr>
          <w:rFonts w:ascii="Times New Roman" w:hAnsi="Times New Roman" w:cs="Times New Roman"/>
        </w:rPr>
        <w:t xml:space="preserve">that is used </w:t>
      </w:r>
      <w:r w:rsidR="00DB230A">
        <w:rPr>
          <w:rFonts w:ascii="Times New Roman" w:hAnsi="Times New Roman" w:cs="Times New Roman"/>
        </w:rPr>
        <w:t xml:space="preserve">as protection against the possibility that </w:t>
      </w:r>
      <w:r w:rsidR="00070745">
        <w:rPr>
          <w:rFonts w:ascii="Times New Roman" w:hAnsi="Times New Roman" w:cs="Times New Roman"/>
        </w:rPr>
        <w:t xml:space="preserve">the </w:t>
      </w:r>
      <w:r w:rsidR="00DB230A">
        <w:rPr>
          <w:rFonts w:ascii="Times New Roman" w:hAnsi="Times New Roman" w:cs="Times New Roman"/>
        </w:rPr>
        <w:t>company</w:t>
      </w:r>
      <w:r w:rsidR="00982B38">
        <w:rPr>
          <w:rFonts w:ascii="Times New Roman" w:hAnsi="Times New Roman" w:cs="Times New Roman"/>
        </w:rPr>
        <w:t>’s</w:t>
      </w:r>
      <w:r w:rsidR="00DB230A">
        <w:rPr>
          <w:rFonts w:ascii="Times New Roman" w:hAnsi="Times New Roman" w:cs="Times New Roman"/>
        </w:rPr>
        <w:t xml:space="preserve"> asset</w:t>
      </w:r>
      <w:r w:rsidR="00982B38">
        <w:rPr>
          <w:rFonts w:ascii="Times New Roman" w:hAnsi="Times New Roman" w:cs="Times New Roman"/>
        </w:rPr>
        <w:t xml:space="preserve">s value </w:t>
      </w:r>
      <w:r w:rsidR="00070745">
        <w:rPr>
          <w:rFonts w:ascii="Times New Roman" w:hAnsi="Times New Roman" w:cs="Times New Roman"/>
        </w:rPr>
        <w:t>can be impacted by interest rate fluctuations</w:t>
      </w:r>
      <w:r w:rsidR="004747DE" w:rsidRPr="004747DE">
        <w:rPr>
          <w:rFonts w:ascii="Times New Roman" w:hAnsi="Times New Roman" w:cs="Times New Roman"/>
        </w:rPr>
        <w:t xml:space="preserve">. </w:t>
      </w:r>
      <w:r w:rsidR="005D3F8D">
        <w:rPr>
          <w:rFonts w:ascii="Times New Roman" w:hAnsi="Times New Roman" w:cs="Times New Roman"/>
        </w:rPr>
        <w:t xml:space="preserve">In other words, </w:t>
      </w:r>
      <w:r w:rsidR="004747DE" w:rsidRPr="004747DE">
        <w:rPr>
          <w:rFonts w:ascii="Times New Roman" w:hAnsi="Times New Roman" w:cs="Times New Roman"/>
        </w:rPr>
        <w:t xml:space="preserve">the company’s fixed income investment is highly dependent on fluctuations in the </w:t>
      </w:r>
      <w:r w:rsidR="005D3F8D">
        <w:rPr>
          <w:rFonts w:ascii="Times New Roman" w:hAnsi="Times New Roman" w:cs="Times New Roman"/>
        </w:rPr>
        <w:t xml:space="preserve">CB’s </w:t>
      </w:r>
      <w:r w:rsidR="004747DE" w:rsidRPr="004747DE">
        <w:rPr>
          <w:rFonts w:ascii="Times New Roman" w:hAnsi="Times New Roman" w:cs="Times New Roman"/>
        </w:rPr>
        <w:t xml:space="preserve">interest rate. By making use of fair value hedging, the losses and the gains are offset by the effects of each other. Overall, fair value hedging applied on the interest rate for </w:t>
      </w:r>
      <w:r w:rsidR="004747DE" w:rsidRPr="004747DE">
        <w:rPr>
          <w:rFonts w:ascii="Times New Roman" w:hAnsi="Times New Roman" w:cs="Times New Roman"/>
        </w:rPr>
        <w:t>TSMC,</w:t>
      </w:r>
      <w:r w:rsidR="004747DE" w:rsidRPr="004747DE">
        <w:rPr>
          <w:rFonts w:ascii="Times New Roman" w:hAnsi="Times New Roman" w:cs="Times New Roman"/>
        </w:rPr>
        <w:t xml:space="preserve"> and this is part of a broader strategy for the purpose of decreasing the effects of earnings volatility and exposure to economic risk.</w:t>
      </w:r>
    </w:p>
    <w:p w14:paraId="65264E55" w14:textId="2C92BD9A" w:rsidR="00140CA5" w:rsidRDefault="005D3F8D" w:rsidP="0077087A">
      <w:pPr>
        <w:spacing w:line="360" w:lineRule="auto"/>
        <w:ind w:firstLine="198"/>
        <w:jc w:val="both"/>
        <w:rPr>
          <w:rFonts w:ascii="Times New Roman" w:hAnsi="Times New Roman" w:cs="Times New Roman"/>
        </w:rPr>
      </w:pPr>
      <w:r>
        <w:rPr>
          <w:rFonts w:ascii="Times New Roman" w:hAnsi="Times New Roman" w:cs="Times New Roman"/>
        </w:rPr>
        <w:t xml:space="preserve">Figure 3.2.1 </w:t>
      </w:r>
      <w:r w:rsidR="00B12BC2">
        <w:rPr>
          <w:rFonts w:ascii="Times New Roman" w:hAnsi="Times New Roman" w:cs="Times New Roman"/>
        </w:rPr>
        <w:t>represents how TSMC’s reported interest expenses has developed thro</w:t>
      </w:r>
      <w:r w:rsidR="00B24B37">
        <w:rPr>
          <w:rFonts w:ascii="Times New Roman" w:hAnsi="Times New Roman" w:cs="Times New Roman"/>
        </w:rPr>
        <w:t xml:space="preserve">ughout the period between 2020 and 2025. </w:t>
      </w:r>
      <w:r w:rsidR="001975EE">
        <w:rPr>
          <w:rFonts w:ascii="Times New Roman" w:hAnsi="Times New Roman" w:cs="Times New Roman"/>
        </w:rPr>
        <w:t xml:space="preserve">These expenses for the company went from </w:t>
      </w:r>
      <w:r w:rsidR="00771961">
        <w:rPr>
          <w:rFonts w:ascii="Times New Roman" w:hAnsi="Times New Roman" w:cs="Times New Roman"/>
        </w:rPr>
        <w:t xml:space="preserve">NT$ </w:t>
      </w:r>
      <w:r w:rsidR="001975EE">
        <w:rPr>
          <w:rFonts w:ascii="Times New Roman" w:hAnsi="Times New Roman" w:cs="Times New Roman"/>
        </w:rPr>
        <w:t>2081</w:t>
      </w:r>
      <w:r w:rsidR="00771961">
        <w:rPr>
          <w:rFonts w:ascii="Times New Roman" w:hAnsi="Times New Roman" w:cs="Times New Roman"/>
        </w:rPr>
        <w:t xml:space="preserve"> </w:t>
      </w:r>
      <w:r w:rsidR="0028514E">
        <w:rPr>
          <w:rFonts w:ascii="Times New Roman" w:hAnsi="Times New Roman" w:cs="Times New Roman"/>
        </w:rPr>
        <w:t xml:space="preserve">million to </w:t>
      </w:r>
      <w:r w:rsidR="00771961">
        <w:rPr>
          <w:rFonts w:ascii="Times New Roman" w:hAnsi="Times New Roman" w:cs="Times New Roman"/>
        </w:rPr>
        <w:t xml:space="preserve">NT$ </w:t>
      </w:r>
      <w:r w:rsidR="00771961">
        <w:rPr>
          <w:rFonts w:ascii="Times New Roman" w:hAnsi="Times New Roman" w:cs="Times New Roman"/>
        </w:rPr>
        <w:t xml:space="preserve">12370 million by the end of 2025. </w:t>
      </w:r>
      <w:r w:rsidR="00ED3DFD">
        <w:rPr>
          <w:rFonts w:ascii="Times New Roman" w:hAnsi="Times New Roman" w:cs="Times New Roman"/>
        </w:rPr>
        <w:t xml:space="preserve">This increase is dramatic and it </w:t>
      </w:r>
      <w:r w:rsidR="00F62D42">
        <w:rPr>
          <w:rFonts w:ascii="Times New Roman" w:hAnsi="Times New Roman" w:cs="Times New Roman"/>
        </w:rPr>
        <w:t xml:space="preserve">greatly illustrates what higher interest rates mean for a company’s finances. </w:t>
      </w:r>
      <w:r w:rsidR="00140CA5">
        <w:rPr>
          <w:rFonts w:ascii="Times New Roman" w:hAnsi="Times New Roman" w:cs="Times New Roman"/>
        </w:rPr>
        <w:t xml:space="preserve">Furthermore, this finding also proves that TSMC is heavily exposed to interest rate risk coming from changes in global interest rates. </w:t>
      </w:r>
      <w:r w:rsidR="006D4A06">
        <w:rPr>
          <w:rFonts w:ascii="Times New Roman" w:hAnsi="Times New Roman" w:cs="Times New Roman"/>
        </w:rPr>
        <w:t xml:space="preserve">If this trend of rising interest rates </w:t>
      </w:r>
      <w:r w:rsidR="003E3685">
        <w:rPr>
          <w:rFonts w:ascii="Times New Roman" w:hAnsi="Times New Roman" w:cs="Times New Roman"/>
        </w:rPr>
        <w:t>continues</w:t>
      </w:r>
      <w:r w:rsidR="006D4A06">
        <w:rPr>
          <w:rFonts w:ascii="Times New Roman" w:hAnsi="Times New Roman" w:cs="Times New Roman"/>
        </w:rPr>
        <w:t xml:space="preserve"> and </w:t>
      </w:r>
      <w:r w:rsidR="008E053B">
        <w:rPr>
          <w:rFonts w:ascii="Times New Roman" w:hAnsi="Times New Roman" w:cs="Times New Roman"/>
        </w:rPr>
        <w:t>capital expenditure requirements remain high, the company might find it difficult to finance its operations long-term.</w:t>
      </w:r>
    </w:p>
    <w:p w14:paraId="436606DA" w14:textId="77777777" w:rsidR="004747DE" w:rsidRPr="00A12137" w:rsidRDefault="004747DE" w:rsidP="003307A6">
      <w:pPr>
        <w:spacing w:line="360" w:lineRule="auto"/>
        <w:jc w:val="both"/>
        <w:rPr>
          <w:rFonts w:ascii="Times New Roman" w:hAnsi="Times New Roman" w:cs="Times New Roman"/>
        </w:rPr>
      </w:pPr>
    </w:p>
    <w:p w14:paraId="201CB22C" w14:textId="4E0F5211" w:rsidR="00692B11" w:rsidRPr="003307A6" w:rsidRDefault="00087A56" w:rsidP="003307A6">
      <w:pPr>
        <w:spacing w:line="360" w:lineRule="auto"/>
        <w:jc w:val="both"/>
        <w:rPr>
          <w:rFonts w:ascii="Times New Roman" w:hAnsi="Times New Roman" w:cs="Times New Roman"/>
          <w:i/>
          <w:iCs/>
          <w:color w:val="000000" w:themeColor="text1"/>
        </w:rPr>
      </w:pPr>
      <w:r w:rsidRPr="003307A6">
        <w:rPr>
          <w:rFonts w:ascii="Times New Roman" w:hAnsi="Times New Roman" w:cs="Times New Roman"/>
          <w:i/>
          <w:iCs/>
          <w:color w:val="000000" w:themeColor="text1"/>
        </w:rPr>
        <w:t>Figure 3.2.1: TSMC Interest Expense Over Time</w:t>
      </w:r>
    </w:p>
    <w:p w14:paraId="5E612EF9" w14:textId="51670A2C" w:rsidR="008E053B" w:rsidRDefault="00087A56" w:rsidP="003307A6">
      <w:pPr>
        <w:spacing w:line="360" w:lineRule="auto"/>
        <w:jc w:val="both"/>
        <w:rPr>
          <w:rFonts w:ascii="Times New Roman" w:hAnsi="Times New Roman" w:cs="Times New Roman"/>
          <w:color w:val="000000" w:themeColor="text1"/>
        </w:rPr>
      </w:pPr>
      <w:r w:rsidRPr="00A12137">
        <w:rPr>
          <w:rFonts w:ascii="Times New Roman" w:hAnsi="Times New Roman" w:cs="Times New Roman"/>
          <w:noProof/>
          <w:color w:val="000000" w:themeColor="text1"/>
        </w:rPr>
        <w:drawing>
          <wp:inline distT="0" distB="0" distL="0" distR="0" wp14:anchorId="24CC611F" wp14:editId="03231422">
            <wp:extent cx="4737401" cy="2631688"/>
            <wp:effectExtent l="12700" t="12700" r="12700" b="10160"/>
            <wp:docPr id="82065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5098" name="Picture 820650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57383" cy="2642788"/>
                    </a:xfrm>
                    <a:prstGeom prst="rect">
                      <a:avLst/>
                    </a:prstGeom>
                    <a:ln w="6350">
                      <a:solidFill>
                        <a:schemeClr val="tx1"/>
                      </a:solidFill>
                    </a:ln>
                  </pic:spPr>
                </pic:pic>
              </a:graphicData>
            </a:graphic>
          </wp:inline>
        </w:drawing>
      </w:r>
    </w:p>
    <w:p w14:paraId="49D7AE75" w14:textId="21D28AAD" w:rsidR="008E053B" w:rsidRPr="00A12137" w:rsidRDefault="003E3685" w:rsidP="00D33DE2">
      <w:pPr>
        <w:spacing w:line="360" w:lineRule="auto"/>
        <w:ind w:firstLine="198"/>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Moreover, another interesting illustration connected to this is Figure 3.2.2, which shows </w:t>
      </w:r>
      <w:r w:rsidR="000501DB">
        <w:rPr>
          <w:rFonts w:ascii="Times New Roman" w:hAnsi="Times New Roman" w:cs="Times New Roman"/>
          <w:color w:val="000000" w:themeColor="text1"/>
        </w:rPr>
        <w:t>TSMC’s capital expenditure as a percentage of company revenues. The figure depicts a</w:t>
      </w:r>
      <w:r w:rsidR="003911DC">
        <w:rPr>
          <w:rFonts w:ascii="Times New Roman" w:hAnsi="Times New Roman" w:cs="Times New Roman"/>
          <w:color w:val="000000" w:themeColor="text1"/>
        </w:rPr>
        <w:t xml:space="preserve"> sharp increase in this ratio </w:t>
      </w:r>
      <w:r w:rsidR="00BE2E6B">
        <w:rPr>
          <w:rFonts w:ascii="Times New Roman" w:hAnsi="Times New Roman" w:cs="Times New Roman"/>
          <w:color w:val="000000" w:themeColor="text1"/>
        </w:rPr>
        <w:t xml:space="preserve">between 2020 and 2021, which </w:t>
      </w:r>
      <w:r w:rsidR="002033FF">
        <w:rPr>
          <w:rFonts w:ascii="Times New Roman" w:hAnsi="Times New Roman" w:cs="Times New Roman"/>
          <w:color w:val="000000" w:themeColor="text1"/>
        </w:rPr>
        <w:t xml:space="preserve">went down from </w:t>
      </w:r>
      <w:r w:rsidR="00080279">
        <w:rPr>
          <w:rFonts w:ascii="Times New Roman" w:hAnsi="Times New Roman" w:cs="Times New Roman"/>
          <w:color w:val="000000" w:themeColor="text1"/>
        </w:rPr>
        <w:t>52.5% in 2020 to around 33% in 2025</w:t>
      </w:r>
      <w:r w:rsidR="00E22F5F">
        <w:rPr>
          <w:rFonts w:ascii="Times New Roman" w:hAnsi="Times New Roman" w:cs="Times New Roman"/>
          <w:color w:val="000000" w:themeColor="text1"/>
        </w:rPr>
        <w:t xml:space="preserve">. This showcases TSMC’s commitment to investing in long-term project, while also </w:t>
      </w:r>
      <w:r w:rsidR="00FC4B67">
        <w:rPr>
          <w:rFonts w:ascii="Times New Roman" w:hAnsi="Times New Roman" w:cs="Times New Roman"/>
          <w:color w:val="000000" w:themeColor="text1"/>
        </w:rPr>
        <w:t>demonstrating a relatively safe allocation of company revenues in a financially sustainable way.</w:t>
      </w:r>
    </w:p>
    <w:p w14:paraId="06A6FA57" w14:textId="77777777" w:rsidR="008E053B" w:rsidRDefault="008E053B" w:rsidP="003307A6">
      <w:pPr>
        <w:spacing w:line="360" w:lineRule="auto"/>
        <w:jc w:val="both"/>
        <w:rPr>
          <w:rFonts w:ascii="Times New Roman" w:hAnsi="Times New Roman" w:cs="Times New Roman"/>
          <w:i/>
          <w:iCs/>
          <w:color w:val="000000" w:themeColor="text1"/>
        </w:rPr>
      </w:pPr>
    </w:p>
    <w:p w14:paraId="4E73E79B" w14:textId="721ABBE3" w:rsidR="00692B11" w:rsidRPr="003307A6" w:rsidRDefault="00087A56" w:rsidP="003307A6">
      <w:pPr>
        <w:spacing w:line="360" w:lineRule="auto"/>
        <w:jc w:val="both"/>
        <w:rPr>
          <w:rFonts w:ascii="Times New Roman" w:hAnsi="Times New Roman" w:cs="Times New Roman"/>
          <w:i/>
          <w:iCs/>
          <w:color w:val="000000" w:themeColor="text1"/>
        </w:rPr>
      </w:pPr>
      <w:r w:rsidRPr="003307A6">
        <w:rPr>
          <w:rFonts w:ascii="Times New Roman" w:hAnsi="Times New Roman" w:cs="Times New Roman"/>
          <w:i/>
          <w:iCs/>
          <w:color w:val="000000" w:themeColor="text1"/>
        </w:rPr>
        <w:t>Figure 3.2.2: TSMC CapEx as a Percentage of Revenue</w:t>
      </w:r>
    </w:p>
    <w:p w14:paraId="38AF9DD7" w14:textId="46155965" w:rsidR="00D33DE2" w:rsidRDefault="00087A56" w:rsidP="004747DE">
      <w:pPr>
        <w:spacing w:line="360" w:lineRule="auto"/>
        <w:rPr>
          <w:rFonts w:ascii="Times New Roman" w:hAnsi="Times New Roman" w:cs="Times New Roman"/>
        </w:rPr>
      </w:pPr>
      <w:r w:rsidRPr="00A12137">
        <w:rPr>
          <w:rFonts w:ascii="Times New Roman" w:hAnsi="Times New Roman" w:cs="Times New Roman"/>
          <w:noProof/>
        </w:rPr>
        <w:drawing>
          <wp:inline distT="0" distB="0" distL="0" distR="0" wp14:anchorId="202791F1" wp14:editId="5A6DA836">
            <wp:extent cx="4777549" cy="2653991"/>
            <wp:effectExtent l="12700" t="12700" r="10795" b="13335"/>
            <wp:docPr id="19746893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89346" name="Picture 19746893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14107" cy="2674299"/>
                    </a:xfrm>
                    <a:prstGeom prst="rect">
                      <a:avLst/>
                    </a:prstGeom>
                    <a:ln w="6350">
                      <a:solidFill>
                        <a:schemeClr val="tx1"/>
                      </a:solidFill>
                    </a:ln>
                  </pic:spPr>
                </pic:pic>
              </a:graphicData>
            </a:graphic>
          </wp:inline>
        </w:drawing>
      </w:r>
    </w:p>
    <w:p w14:paraId="4E92C467" w14:textId="77777777" w:rsidR="00C80FE6" w:rsidRDefault="00C80FE6" w:rsidP="00A56E80">
      <w:pPr>
        <w:spacing w:line="360" w:lineRule="auto"/>
        <w:ind w:firstLine="198"/>
        <w:rPr>
          <w:rFonts w:ascii="Times New Roman" w:hAnsi="Times New Roman" w:cs="Times New Roman"/>
        </w:rPr>
      </w:pPr>
    </w:p>
    <w:p w14:paraId="7540BA56" w14:textId="443B942D" w:rsidR="00D33DE2" w:rsidRPr="004747DE" w:rsidRDefault="00D33DE2" w:rsidP="005A35F5">
      <w:pPr>
        <w:spacing w:line="360" w:lineRule="auto"/>
        <w:ind w:firstLine="198"/>
        <w:jc w:val="both"/>
        <w:rPr>
          <w:rFonts w:ascii="Times New Roman" w:hAnsi="Times New Roman" w:cs="Times New Roman"/>
        </w:rPr>
      </w:pPr>
      <w:r>
        <w:rPr>
          <w:rFonts w:ascii="Times New Roman" w:hAnsi="Times New Roman" w:cs="Times New Roman"/>
        </w:rPr>
        <w:t xml:space="preserve">To summarize, </w:t>
      </w:r>
      <w:r w:rsidR="00383224">
        <w:rPr>
          <w:rFonts w:ascii="Times New Roman" w:hAnsi="Times New Roman" w:cs="Times New Roman"/>
        </w:rPr>
        <w:t xml:space="preserve">TSMC has managed to perform relatively well, despite the increasing uncertainties that were present </w:t>
      </w:r>
      <w:r w:rsidR="008E4362">
        <w:rPr>
          <w:rFonts w:ascii="Times New Roman" w:hAnsi="Times New Roman" w:cs="Times New Roman"/>
        </w:rPr>
        <w:t xml:space="preserve">during the observed period. While its interest rates </w:t>
      </w:r>
      <w:r w:rsidR="00C80FE6">
        <w:rPr>
          <w:rFonts w:ascii="Times New Roman" w:hAnsi="Times New Roman" w:cs="Times New Roman"/>
        </w:rPr>
        <w:t>expenses rose</w:t>
      </w:r>
      <w:r w:rsidR="008E4362">
        <w:rPr>
          <w:rFonts w:ascii="Times New Roman" w:hAnsi="Times New Roman" w:cs="Times New Roman"/>
        </w:rPr>
        <w:t xml:space="preserve">, </w:t>
      </w:r>
      <w:r w:rsidR="00C80FE6">
        <w:rPr>
          <w:rFonts w:ascii="Times New Roman" w:hAnsi="Times New Roman" w:cs="Times New Roman"/>
        </w:rPr>
        <w:t xml:space="preserve">the company still maintained strong liquidity positions, which was demonstrated by </w:t>
      </w:r>
      <w:r w:rsidR="00D232D6">
        <w:rPr>
          <w:rFonts w:ascii="Times New Roman" w:hAnsi="Times New Roman" w:cs="Times New Roman"/>
        </w:rPr>
        <w:t xml:space="preserve">the previous section’s finding that the company’s cash reserves remained high. This </w:t>
      </w:r>
      <w:r w:rsidR="0086299A">
        <w:rPr>
          <w:rFonts w:ascii="Times New Roman" w:hAnsi="Times New Roman" w:cs="Times New Roman"/>
        </w:rPr>
        <w:t>is probably the reason why TSMC could still spend a relatively high percentage of its revenues on long-term investments.</w:t>
      </w:r>
    </w:p>
    <w:p w14:paraId="0FDCCE81" w14:textId="3CA39356" w:rsidR="1CA46CE4" w:rsidRPr="003307A6" w:rsidRDefault="5C4493DB" w:rsidP="003307A6">
      <w:pPr>
        <w:pStyle w:val="Heading2"/>
        <w:spacing w:line="360" w:lineRule="auto"/>
        <w:rPr>
          <w:rFonts w:ascii="Times New Roman" w:hAnsi="Times New Roman" w:cs="Times New Roman"/>
          <w:color w:val="auto"/>
        </w:rPr>
      </w:pPr>
      <w:bookmarkStart w:id="10" w:name="_Toc230603272"/>
      <w:r w:rsidRPr="00A12137">
        <w:rPr>
          <w:rFonts w:ascii="Times New Roman" w:hAnsi="Times New Roman" w:cs="Times New Roman"/>
        </w:rPr>
        <w:t>3.</w:t>
      </w:r>
      <w:r w:rsidR="00EB6770" w:rsidRPr="00A12137">
        <w:rPr>
          <w:rFonts w:ascii="Times New Roman" w:hAnsi="Times New Roman" w:cs="Times New Roman"/>
        </w:rPr>
        <w:t>3</w:t>
      </w:r>
      <w:r w:rsidRPr="00A12137">
        <w:rPr>
          <w:rFonts w:ascii="Times New Roman" w:hAnsi="Times New Roman" w:cs="Times New Roman"/>
        </w:rPr>
        <w:t>. Analysis of Exchange rate risk</w:t>
      </w:r>
      <w:bookmarkEnd w:id="10"/>
    </w:p>
    <w:p w14:paraId="76B13771" w14:textId="5D3DCD76" w:rsidR="35B9D41A" w:rsidRDefault="007F6821" w:rsidP="0077087A">
      <w:pPr>
        <w:spacing w:line="360" w:lineRule="auto"/>
        <w:ind w:firstLine="198"/>
        <w:jc w:val="both"/>
        <w:rPr>
          <w:rFonts w:ascii="Times New Roman" w:hAnsi="Times New Roman" w:cs="Times New Roman"/>
          <w:color w:val="000000" w:themeColor="text1"/>
        </w:rPr>
      </w:pPr>
      <w:r>
        <w:rPr>
          <w:rFonts w:ascii="Times New Roman" w:hAnsi="Times New Roman" w:cs="Times New Roman"/>
          <w:color w:val="000000" w:themeColor="text1"/>
        </w:rPr>
        <w:t xml:space="preserve">Multinational corporations are heavily exposed to exchange rate risks, because they operate globally in many different markets at the same time. </w:t>
      </w:r>
      <w:r w:rsidR="005A35F5">
        <w:rPr>
          <w:rFonts w:ascii="Times New Roman" w:hAnsi="Times New Roman" w:cs="Times New Roman"/>
          <w:color w:val="000000" w:themeColor="text1"/>
        </w:rPr>
        <w:t>TSMC</w:t>
      </w:r>
      <w:r w:rsidR="00282001">
        <w:rPr>
          <w:rFonts w:ascii="Times New Roman" w:hAnsi="Times New Roman" w:cs="Times New Roman"/>
          <w:color w:val="000000" w:themeColor="text1"/>
        </w:rPr>
        <w:t xml:space="preserve"> is primarily</w:t>
      </w:r>
      <w:r w:rsidR="005A35F5">
        <w:rPr>
          <w:rFonts w:ascii="Times New Roman" w:hAnsi="Times New Roman" w:cs="Times New Roman"/>
          <w:color w:val="000000" w:themeColor="text1"/>
        </w:rPr>
        <w:t xml:space="preserve"> headquartered in </w:t>
      </w:r>
      <w:r w:rsidR="00282001">
        <w:rPr>
          <w:rFonts w:ascii="Times New Roman" w:hAnsi="Times New Roman" w:cs="Times New Roman"/>
          <w:color w:val="000000" w:themeColor="text1"/>
        </w:rPr>
        <w:t>Taiwan,</w:t>
      </w:r>
      <w:r w:rsidR="005A35F5">
        <w:rPr>
          <w:rFonts w:ascii="Times New Roman" w:hAnsi="Times New Roman" w:cs="Times New Roman"/>
          <w:color w:val="000000" w:themeColor="text1"/>
        </w:rPr>
        <w:t xml:space="preserve"> and it mostly produces </w:t>
      </w:r>
      <w:r w:rsidR="00282001">
        <w:rPr>
          <w:rFonts w:ascii="Times New Roman" w:hAnsi="Times New Roman" w:cs="Times New Roman"/>
          <w:color w:val="000000" w:themeColor="text1"/>
        </w:rPr>
        <w:t>to</w:t>
      </w:r>
      <w:r w:rsidR="005A35F5">
        <w:rPr>
          <w:rFonts w:ascii="Times New Roman" w:hAnsi="Times New Roman" w:cs="Times New Roman"/>
          <w:color w:val="000000" w:themeColor="text1"/>
        </w:rPr>
        <w:t xml:space="preserve"> global markets</w:t>
      </w:r>
      <w:r w:rsidR="00282001">
        <w:rPr>
          <w:rFonts w:ascii="Times New Roman" w:hAnsi="Times New Roman" w:cs="Times New Roman"/>
          <w:color w:val="000000" w:themeColor="text1"/>
        </w:rPr>
        <w:t xml:space="preserve"> and especially to the US market. This means that a very large percentage of its revenues are denominated in US dollars and its operational expenses are largely in NT$s. As it was discussed in the </w:t>
      </w:r>
      <w:r w:rsidR="004E4E68">
        <w:rPr>
          <w:rFonts w:ascii="Times New Roman" w:hAnsi="Times New Roman" w:cs="Times New Roman"/>
          <w:color w:val="000000" w:themeColor="text1"/>
        </w:rPr>
        <w:t>theoretical framework, this creates  exchange rate risk for the company.</w:t>
      </w:r>
    </w:p>
    <w:p w14:paraId="46BB8983" w14:textId="1CA20436" w:rsidR="004E4E68" w:rsidRDefault="004E4E68" w:rsidP="0077087A">
      <w:pPr>
        <w:spacing w:line="360" w:lineRule="auto"/>
        <w:ind w:firstLine="198"/>
        <w:jc w:val="both"/>
        <w:rPr>
          <w:rFonts w:ascii="Times New Roman" w:hAnsi="Times New Roman" w:cs="Times New Roman"/>
          <w:color w:val="000000" w:themeColor="text1"/>
        </w:rPr>
      </w:pPr>
      <w:r>
        <w:rPr>
          <w:rFonts w:ascii="Times New Roman" w:hAnsi="Times New Roman" w:cs="Times New Roman"/>
          <w:color w:val="000000" w:themeColor="text1"/>
        </w:rPr>
        <w:t xml:space="preserve">Figure 3.3 </w:t>
      </w:r>
      <w:r w:rsidR="008C75A8">
        <w:rPr>
          <w:rFonts w:ascii="Times New Roman" w:hAnsi="Times New Roman" w:cs="Times New Roman"/>
          <w:color w:val="000000" w:themeColor="text1"/>
        </w:rPr>
        <w:t xml:space="preserve">illustrates how the USD and NT$ exchange rate </w:t>
      </w:r>
      <w:r w:rsidR="00AE074A">
        <w:rPr>
          <w:rFonts w:ascii="Times New Roman" w:hAnsi="Times New Roman" w:cs="Times New Roman"/>
          <w:color w:val="000000" w:themeColor="text1"/>
        </w:rPr>
        <w:t>moved between 2020 and 2025. This shows the US</w:t>
      </w:r>
      <w:r w:rsidR="00AA348D">
        <w:rPr>
          <w:rFonts w:ascii="Times New Roman" w:hAnsi="Times New Roman" w:cs="Times New Roman"/>
          <w:color w:val="000000" w:themeColor="text1"/>
        </w:rPr>
        <w:t>D</w:t>
      </w:r>
      <w:r w:rsidR="00AE074A">
        <w:rPr>
          <w:rFonts w:ascii="Times New Roman" w:hAnsi="Times New Roman" w:cs="Times New Roman"/>
          <w:color w:val="000000" w:themeColor="text1"/>
        </w:rPr>
        <w:t xml:space="preserve"> </w:t>
      </w:r>
      <w:r w:rsidR="00DE4615">
        <w:rPr>
          <w:rFonts w:ascii="Times New Roman" w:hAnsi="Times New Roman" w:cs="Times New Roman"/>
          <w:color w:val="000000" w:themeColor="text1"/>
        </w:rPr>
        <w:t xml:space="preserve">has appreciated during this period compared to the NT$. </w:t>
      </w:r>
      <w:r w:rsidR="00AA348D">
        <w:rPr>
          <w:rFonts w:ascii="Times New Roman" w:hAnsi="Times New Roman" w:cs="Times New Roman"/>
          <w:color w:val="000000" w:themeColor="text1"/>
        </w:rPr>
        <w:t xml:space="preserve">This appreciation can be seen especially from the period of 2021, where the exchange rate hovered around </w:t>
      </w:r>
      <w:r w:rsidR="001D20F3">
        <w:rPr>
          <w:rFonts w:ascii="Times New Roman" w:hAnsi="Times New Roman" w:cs="Times New Roman"/>
          <w:color w:val="000000" w:themeColor="text1"/>
        </w:rPr>
        <w:t xml:space="preserve">27 USD/NT$, by 2024, this value increased to </w:t>
      </w:r>
      <w:r w:rsidR="00F9598F">
        <w:rPr>
          <w:rFonts w:ascii="Times New Roman" w:hAnsi="Times New Roman" w:cs="Times New Roman"/>
          <w:color w:val="000000" w:themeColor="text1"/>
        </w:rPr>
        <w:t>approximately 32 USD/NT$</w:t>
      </w:r>
      <w:r w:rsidR="00F36642">
        <w:rPr>
          <w:rFonts w:ascii="Times New Roman" w:hAnsi="Times New Roman" w:cs="Times New Roman"/>
          <w:color w:val="000000" w:themeColor="text1"/>
        </w:rPr>
        <w:t xml:space="preserve">. </w:t>
      </w:r>
    </w:p>
    <w:p w14:paraId="552FFA03" w14:textId="3916EE29" w:rsidR="002117EB" w:rsidRPr="00A12137" w:rsidRDefault="002117EB" w:rsidP="0077087A">
      <w:pPr>
        <w:spacing w:line="360" w:lineRule="auto"/>
        <w:ind w:firstLine="198"/>
        <w:jc w:val="both"/>
        <w:rPr>
          <w:rFonts w:ascii="Times New Roman" w:hAnsi="Times New Roman" w:cs="Times New Roman"/>
          <w:color w:val="000000" w:themeColor="text1"/>
        </w:rPr>
      </w:pPr>
      <w:r>
        <w:rPr>
          <w:rFonts w:ascii="Times New Roman" w:hAnsi="Times New Roman" w:cs="Times New Roman"/>
          <w:color w:val="000000" w:themeColor="text1"/>
        </w:rPr>
        <w:t xml:space="preserve">From the perspective of TSMC this appreciation of the dollar </w:t>
      </w:r>
      <w:r w:rsidR="00C60823">
        <w:rPr>
          <w:rFonts w:ascii="Times New Roman" w:hAnsi="Times New Roman" w:cs="Times New Roman"/>
          <w:color w:val="000000" w:themeColor="text1"/>
        </w:rPr>
        <w:t xml:space="preserve">can be seen positively and negatively at the same time. On one hand, </w:t>
      </w:r>
      <w:r w:rsidR="005B173D">
        <w:rPr>
          <w:rFonts w:ascii="Times New Roman" w:hAnsi="Times New Roman" w:cs="Times New Roman"/>
          <w:color w:val="000000" w:themeColor="text1"/>
        </w:rPr>
        <w:t>this makes the values of the company’s export</w:t>
      </w:r>
      <w:r w:rsidR="0031634F">
        <w:rPr>
          <w:rFonts w:ascii="Times New Roman" w:hAnsi="Times New Roman" w:cs="Times New Roman"/>
          <w:color w:val="000000" w:themeColor="text1"/>
        </w:rPr>
        <w:t xml:space="preserve"> revenues that are in USD increase</w:t>
      </w:r>
      <w:r w:rsidR="00E37DD2">
        <w:rPr>
          <w:rFonts w:ascii="Times New Roman" w:hAnsi="Times New Roman" w:cs="Times New Roman"/>
          <w:color w:val="000000" w:themeColor="text1"/>
        </w:rPr>
        <w:t xml:space="preserve">, </w:t>
      </w:r>
      <w:r w:rsidR="00E37DD2">
        <w:rPr>
          <w:rFonts w:ascii="Times New Roman" w:hAnsi="Times New Roman" w:cs="Times New Roman"/>
          <w:color w:val="000000" w:themeColor="text1"/>
        </w:rPr>
        <w:lastRenderedPageBreak/>
        <w:t xml:space="preserve">which in turn creates better financing conditions for the company, since most of its operational costs are still in NT$s. </w:t>
      </w:r>
      <w:r w:rsidR="007C4920">
        <w:rPr>
          <w:rFonts w:ascii="Times New Roman" w:hAnsi="Times New Roman" w:cs="Times New Roman"/>
          <w:color w:val="000000" w:themeColor="text1"/>
        </w:rPr>
        <w:t xml:space="preserve">On the other hand, the period is also characterized by </w:t>
      </w:r>
      <w:r w:rsidR="00E57D57">
        <w:rPr>
          <w:rFonts w:ascii="Times New Roman" w:hAnsi="Times New Roman" w:cs="Times New Roman"/>
          <w:color w:val="000000" w:themeColor="text1"/>
        </w:rPr>
        <w:t xml:space="preserve">increased </w:t>
      </w:r>
      <w:r w:rsidR="003A4997">
        <w:rPr>
          <w:rFonts w:ascii="Times New Roman" w:hAnsi="Times New Roman" w:cs="Times New Roman"/>
          <w:color w:val="000000" w:themeColor="text1"/>
        </w:rPr>
        <w:t xml:space="preserve">exchange rate volatility, which creates a more unstable business environment for TSMC. While the change </w:t>
      </w:r>
      <w:r w:rsidR="00670D92">
        <w:rPr>
          <w:rFonts w:ascii="Times New Roman" w:hAnsi="Times New Roman" w:cs="Times New Roman"/>
          <w:color w:val="000000" w:themeColor="text1"/>
        </w:rPr>
        <w:t xml:space="preserve">during this period turned out to have largely positive results for the company, sudden movements in interest rates can also </w:t>
      </w:r>
      <w:r w:rsidR="008963A1">
        <w:rPr>
          <w:rFonts w:ascii="Times New Roman" w:hAnsi="Times New Roman" w:cs="Times New Roman"/>
          <w:color w:val="000000" w:themeColor="text1"/>
        </w:rPr>
        <w:t>affect</w:t>
      </w:r>
      <w:r w:rsidR="00670D92">
        <w:rPr>
          <w:rFonts w:ascii="Times New Roman" w:hAnsi="Times New Roman" w:cs="Times New Roman"/>
          <w:color w:val="000000" w:themeColor="text1"/>
        </w:rPr>
        <w:t xml:space="preserve"> the company negatively in the future, this is why exchange rate risk is measured in exchange rate volatility and how much a company is actually exposed to these fluctuations.</w:t>
      </w:r>
    </w:p>
    <w:p w14:paraId="56B5FFAE" w14:textId="77777777" w:rsidR="00F75966" w:rsidRPr="00A12137" w:rsidRDefault="00F75966" w:rsidP="003307A6">
      <w:pPr>
        <w:spacing w:line="360" w:lineRule="auto"/>
        <w:jc w:val="both"/>
        <w:rPr>
          <w:rFonts w:ascii="Times New Roman" w:hAnsi="Times New Roman" w:cs="Times New Roman"/>
          <w:color w:val="000000" w:themeColor="text1"/>
        </w:rPr>
      </w:pPr>
    </w:p>
    <w:p w14:paraId="5640E002" w14:textId="042A55C3" w:rsidR="00692B11" w:rsidRPr="003307A6" w:rsidRDefault="00087A56" w:rsidP="003307A6">
      <w:pPr>
        <w:spacing w:line="360" w:lineRule="auto"/>
        <w:jc w:val="both"/>
        <w:rPr>
          <w:rFonts w:ascii="Times New Roman" w:hAnsi="Times New Roman" w:cs="Times New Roman"/>
          <w:i/>
          <w:iCs/>
          <w:color w:val="000000" w:themeColor="text1"/>
        </w:rPr>
      </w:pPr>
      <w:r w:rsidRPr="003307A6">
        <w:rPr>
          <w:rFonts w:ascii="Times New Roman" w:hAnsi="Times New Roman" w:cs="Times New Roman"/>
          <w:i/>
          <w:iCs/>
          <w:color w:val="000000" w:themeColor="text1"/>
        </w:rPr>
        <w:t>Figure 3.3: USD/TWD Exchange Rate</w:t>
      </w:r>
    </w:p>
    <w:p w14:paraId="61C4BCC0" w14:textId="77777777" w:rsidR="00894425" w:rsidRDefault="00692B11" w:rsidP="00894425">
      <w:pPr>
        <w:spacing w:line="360" w:lineRule="auto"/>
        <w:jc w:val="both"/>
        <w:rPr>
          <w:rFonts w:ascii="Times New Roman" w:hAnsi="Times New Roman" w:cs="Times New Roman"/>
          <w:color w:val="000000" w:themeColor="text1"/>
        </w:rPr>
      </w:pPr>
      <w:r w:rsidRPr="00A12137">
        <w:rPr>
          <w:rFonts w:ascii="Times New Roman" w:hAnsi="Times New Roman" w:cs="Times New Roman"/>
          <w:noProof/>
          <w:color w:val="000000" w:themeColor="text1"/>
        </w:rPr>
        <w:drawing>
          <wp:inline distT="0" distB="0" distL="0" distR="0" wp14:anchorId="630E80A8" wp14:editId="5A44D350">
            <wp:extent cx="5359686" cy="2977376"/>
            <wp:effectExtent l="12700" t="12700" r="12700" b="7620"/>
            <wp:docPr id="138393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3935" name="Picture 1383939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79577" cy="2988426"/>
                    </a:xfrm>
                    <a:prstGeom prst="rect">
                      <a:avLst/>
                    </a:prstGeom>
                    <a:ln w="6350">
                      <a:solidFill>
                        <a:schemeClr val="tx1"/>
                      </a:solidFill>
                    </a:ln>
                  </pic:spPr>
                </pic:pic>
              </a:graphicData>
            </a:graphic>
          </wp:inline>
        </w:drawing>
      </w:r>
    </w:p>
    <w:p w14:paraId="6134B105" w14:textId="77777777" w:rsidR="00894425" w:rsidRDefault="00894425" w:rsidP="00894425">
      <w:pPr>
        <w:spacing w:line="360" w:lineRule="auto"/>
        <w:jc w:val="both"/>
        <w:rPr>
          <w:rFonts w:ascii="Times New Roman" w:hAnsi="Times New Roman" w:cs="Times New Roman"/>
        </w:rPr>
      </w:pPr>
    </w:p>
    <w:p w14:paraId="47203B88" w14:textId="659A6360" w:rsidR="00CD28D4" w:rsidRPr="00894425" w:rsidRDefault="00894425" w:rsidP="0057685F">
      <w:pPr>
        <w:spacing w:line="360" w:lineRule="auto"/>
        <w:ind w:firstLine="198"/>
        <w:jc w:val="both"/>
        <w:rPr>
          <w:rFonts w:ascii="Times New Roman" w:hAnsi="Times New Roman" w:cs="Times New Roman"/>
          <w:color w:val="000000" w:themeColor="text1"/>
        </w:rPr>
      </w:pPr>
      <w:r>
        <w:rPr>
          <w:rFonts w:ascii="Times New Roman" w:hAnsi="Times New Roman" w:cs="Times New Roman"/>
        </w:rPr>
        <w:t xml:space="preserve">Furthermore, to decrease its exposure to </w:t>
      </w:r>
      <w:r w:rsidR="00F61CF3">
        <w:rPr>
          <w:rFonts w:ascii="Times New Roman" w:hAnsi="Times New Roman" w:cs="Times New Roman"/>
        </w:rPr>
        <w:t xml:space="preserve">exchange rate risk, TSMC uses some hedging strategies. </w:t>
      </w:r>
      <w:r w:rsidR="006C6637">
        <w:rPr>
          <w:rFonts w:ascii="Times New Roman" w:hAnsi="Times New Roman" w:cs="Times New Roman"/>
        </w:rPr>
        <w:t xml:space="preserve">According to TSMC’s financial statements, </w:t>
      </w:r>
      <w:r w:rsidR="0087096F">
        <w:rPr>
          <w:rFonts w:ascii="Times New Roman" w:hAnsi="Times New Roman" w:cs="Times New Roman"/>
        </w:rPr>
        <w:t xml:space="preserve">the firm uses foreign exchange forward contracts to reduce </w:t>
      </w:r>
      <w:r w:rsidR="0057685F">
        <w:rPr>
          <w:rFonts w:ascii="Times New Roman" w:hAnsi="Times New Roman" w:cs="Times New Roman"/>
        </w:rPr>
        <w:t xml:space="preserve">risks attributed to possible exchange rate movements (TSMC, 2026). </w:t>
      </w:r>
      <w:r w:rsidR="00C84DCF">
        <w:rPr>
          <w:rFonts w:ascii="Times New Roman" w:hAnsi="Times New Roman" w:cs="Times New Roman"/>
        </w:rPr>
        <w:t>In addition, as it was also discussed in previous sections, the company’s strategy to expand to other markets</w:t>
      </w:r>
      <w:r w:rsidR="008963A1">
        <w:rPr>
          <w:rFonts w:ascii="Times New Roman" w:hAnsi="Times New Roman" w:cs="Times New Roman"/>
        </w:rPr>
        <w:t xml:space="preserve">, such as the US or Japanese markets, decreases its exchange rate risks due to the fact that </w:t>
      </w:r>
      <w:r w:rsidR="00841464">
        <w:rPr>
          <w:rFonts w:ascii="Times New Roman" w:hAnsi="Times New Roman" w:cs="Times New Roman"/>
        </w:rPr>
        <w:t>TSMC can spread its revenues and costs more evenly per currency area, which decreases their risks.</w:t>
      </w:r>
      <w:r w:rsidR="00CD28D4">
        <w:rPr>
          <w:rFonts w:ascii="Times New Roman" w:hAnsi="Times New Roman" w:cs="Times New Roman"/>
        </w:rPr>
        <w:br w:type="page"/>
      </w:r>
    </w:p>
    <w:p w14:paraId="4757EBB5" w14:textId="237875A6" w:rsidR="1CA46CE4" w:rsidRPr="00A12137" w:rsidRDefault="5C4493DB" w:rsidP="003307A6">
      <w:pPr>
        <w:pStyle w:val="Heading2"/>
        <w:spacing w:line="360" w:lineRule="auto"/>
        <w:rPr>
          <w:rFonts w:ascii="Times New Roman" w:hAnsi="Times New Roman" w:cs="Times New Roman"/>
          <w:color w:val="000000" w:themeColor="text1"/>
        </w:rPr>
      </w:pPr>
      <w:bookmarkStart w:id="11" w:name="_Toc230603273"/>
      <w:r w:rsidRPr="00A12137">
        <w:rPr>
          <w:rFonts w:ascii="Times New Roman" w:hAnsi="Times New Roman" w:cs="Times New Roman"/>
        </w:rPr>
        <w:lastRenderedPageBreak/>
        <w:t>3.</w:t>
      </w:r>
      <w:r w:rsidR="00EB6770" w:rsidRPr="00A12137">
        <w:rPr>
          <w:rFonts w:ascii="Times New Roman" w:hAnsi="Times New Roman" w:cs="Times New Roman"/>
        </w:rPr>
        <w:t>4</w:t>
      </w:r>
      <w:r w:rsidRPr="00A12137">
        <w:rPr>
          <w:rFonts w:ascii="Times New Roman" w:hAnsi="Times New Roman" w:cs="Times New Roman"/>
        </w:rPr>
        <w:t>. Analysis of Inflation rate risk</w:t>
      </w:r>
      <w:bookmarkEnd w:id="11"/>
    </w:p>
    <w:p w14:paraId="04DD613A" w14:textId="6B4D0EA9" w:rsidR="35AD208B" w:rsidRDefault="00DB7B6E" w:rsidP="0077087A">
      <w:pPr>
        <w:spacing w:line="360" w:lineRule="auto"/>
        <w:ind w:firstLine="198"/>
        <w:jc w:val="both"/>
        <w:rPr>
          <w:rFonts w:ascii="Times New Roman" w:hAnsi="Times New Roman" w:cs="Times New Roman"/>
          <w:color w:val="000000" w:themeColor="text1"/>
        </w:rPr>
      </w:pPr>
      <w:r>
        <w:rPr>
          <w:rFonts w:ascii="Times New Roman" w:hAnsi="Times New Roman" w:cs="Times New Roman"/>
          <w:color w:val="000000" w:themeColor="text1"/>
        </w:rPr>
        <w:t xml:space="preserve">As it was stated in previous sections the observed period of analysis between 2020 and 2025 was </w:t>
      </w:r>
      <w:r w:rsidR="0070574A">
        <w:rPr>
          <w:rFonts w:ascii="Times New Roman" w:hAnsi="Times New Roman" w:cs="Times New Roman"/>
          <w:color w:val="000000" w:themeColor="text1"/>
        </w:rPr>
        <w:t xml:space="preserve">full of many geopolitical and financial crises. </w:t>
      </w:r>
      <w:r w:rsidR="00464C21">
        <w:rPr>
          <w:rFonts w:ascii="Times New Roman" w:hAnsi="Times New Roman" w:cs="Times New Roman"/>
          <w:color w:val="000000" w:themeColor="text1"/>
        </w:rPr>
        <w:t xml:space="preserve">Rising energy prices, supply chain disruptions and </w:t>
      </w:r>
      <w:r w:rsidR="00B4354E">
        <w:rPr>
          <w:rFonts w:ascii="Times New Roman" w:hAnsi="Times New Roman" w:cs="Times New Roman"/>
          <w:color w:val="000000" w:themeColor="text1"/>
        </w:rPr>
        <w:t xml:space="preserve">increasing operational costs made many industries </w:t>
      </w:r>
      <w:r w:rsidR="00C92D5A">
        <w:rPr>
          <w:rFonts w:ascii="Times New Roman" w:hAnsi="Times New Roman" w:cs="Times New Roman"/>
          <w:color w:val="000000" w:themeColor="text1"/>
        </w:rPr>
        <w:t xml:space="preserve">including the semiconductor manufacturing industry more turbulent, unpredictable and more </w:t>
      </w:r>
      <w:r w:rsidR="0036134F">
        <w:rPr>
          <w:rFonts w:ascii="Times New Roman" w:hAnsi="Times New Roman" w:cs="Times New Roman"/>
          <w:color w:val="000000" w:themeColor="text1"/>
        </w:rPr>
        <w:t xml:space="preserve">exposed to inflationary pressures. </w:t>
      </w:r>
      <w:r w:rsidR="00E00A4E">
        <w:rPr>
          <w:rFonts w:ascii="Times New Roman" w:hAnsi="Times New Roman" w:cs="Times New Roman"/>
          <w:color w:val="000000" w:themeColor="text1"/>
        </w:rPr>
        <w:t xml:space="preserve">These inflationary shocks then directly affect </w:t>
      </w:r>
      <w:r w:rsidR="00F01EF7">
        <w:rPr>
          <w:rFonts w:ascii="Times New Roman" w:hAnsi="Times New Roman" w:cs="Times New Roman"/>
          <w:color w:val="000000" w:themeColor="text1"/>
        </w:rPr>
        <w:t xml:space="preserve">a company’s profitability (Wang et al., 2023). </w:t>
      </w:r>
      <w:r w:rsidR="00D272C5">
        <w:rPr>
          <w:rFonts w:ascii="Times New Roman" w:hAnsi="Times New Roman" w:cs="Times New Roman"/>
          <w:color w:val="000000" w:themeColor="text1"/>
        </w:rPr>
        <w:t xml:space="preserve">Specifically, the semiconductors market depends on </w:t>
      </w:r>
      <w:r w:rsidR="00BF436B">
        <w:rPr>
          <w:rFonts w:ascii="Times New Roman" w:hAnsi="Times New Roman" w:cs="Times New Roman"/>
          <w:color w:val="000000" w:themeColor="text1"/>
        </w:rPr>
        <w:t xml:space="preserve">electricity prices, water and specialized materials. </w:t>
      </w:r>
      <w:r w:rsidR="0035392A">
        <w:rPr>
          <w:rFonts w:ascii="Times New Roman" w:hAnsi="Times New Roman" w:cs="Times New Roman"/>
          <w:color w:val="000000" w:themeColor="text1"/>
        </w:rPr>
        <w:t>Therefore, TSMC is even more exposed to these risks.</w:t>
      </w:r>
    </w:p>
    <w:p w14:paraId="5F6D2727" w14:textId="22DEFFF4" w:rsidR="0035392A" w:rsidRPr="00A12137" w:rsidRDefault="00F231F8" w:rsidP="0077087A">
      <w:pPr>
        <w:spacing w:line="360" w:lineRule="auto"/>
        <w:ind w:firstLine="198"/>
        <w:jc w:val="both"/>
        <w:rPr>
          <w:rFonts w:ascii="Times New Roman" w:hAnsi="Times New Roman" w:cs="Times New Roman"/>
          <w:color w:val="000000" w:themeColor="text1"/>
        </w:rPr>
      </w:pPr>
      <w:r>
        <w:rPr>
          <w:rFonts w:ascii="Times New Roman" w:hAnsi="Times New Roman" w:cs="Times New Roman"/>
          <w:color w:val="000000" w:themeColor="text1"/>
        </w:rPr>
        <w:t>In addition, Figure 3.4.1 illustrates the change Taiwan’s inflation rate measured by the</w:t>
      </w:r>
      <w:r w:rsidR="00276476">
        <w:rPr>
          <w:rFonts w:ascii="Times New Roman" w:hAnsi="Times New Roman" w:cs="Times New Roman"/>
          <w:color w:val="000000" w:themeColor="text1"/>
        </w:rPr>
        <w:t xml:space="preserve"> annual change of the consumer price indices specifically in the Taiwan area, which are </w:t>
      </w:r>
      <w:r w:rsidR="004B6932">
        <w:rPr>
          <w:rFonts w:ascii="Times New Roman" w:hAnsi="Times New Roman" w:cs="Times New Roman"/>
          <w:color w:val="000000" w:themeColor="text1"/>
        </w:rPr>
        <w:t xml:space="preserve">national statistics from the Republic of Taiwan, since there is no Taiwanese entry in the </w:t>
      </w:r>
      <w:r w:rsidR="001022CC">
        <w:rPr>
          <w:rFonts w:ascii="Times New Roman" w:hAnsi="Times New Roman" w:cs="Times New Roman"/>
          <w:color w:val="000000" w:themeColor="text1"/>
        </w:rPr>
        <w:t xml:space="preserve">World Bank’s achieves. </w:t>
      </w:r>
      <w:r w:rsidR="00557A29">
        <w:rPr>
          <w:rFonts w:ascii="Times New Roman" w:hAnsi="Times New Roman" w:cs="Times New Roman"/>
          <w:color w:val="000000" w:themeColor="text1"/>
        </w:rPr>
        <w:t>The figure shows that after a brief period of deflation</w:t>
      </w:r>
      <w:r w:rsidR="00EC5772">
        <w:rPr>
          <w:rFonts w:ascii="Times New Roman" w:hAnsi="Times New Roman" w:cs="Times New Roman"/>
          <w:color w:val="000000" w:themeColor="text1"/>
        </w:rPr>
        <w:t xml:space="preserve"> in 2020, inflation increased rapidly to an around 3 percent high in 2022, then it slightly went down each year and by 2025, it reached </w:t>
      </w:r>
      <w:r w:rsidR="00C12F23">
        <w:rPr>
          <w:rFonts w:ascii="Times New Roman" w:hAnsi="Times New Roman" w:cs="Times New Roman"/>
          <w:color w:val="000000" w:themeColor="text1"/>
        </w:rPr>
        <w:t>1.66 percent. Overall, looking at these numbers from a western perspective</w:t>
      </w:r>
      <w:r w:rsidR="00662B43">
        <w:rPr>
          <w:rFonts w:ascii="Times New Roman" w:hAnsi="Times New Roman" w:cs="Times New Roman"/>
          <w:color w:val="000000" w:themeColor="text1"/>
        </w:rPr>
        <w:t>, they seem to remain between the usually desired</w:t>
      </w:r>
      <w:r w:rsidR="00DB4DDE">
        <w:rPr>
          <w:rFonts w:ascii="Times New Roman" w:hAnsi="Times New Roman" w:cs="Times New Roman"/>
          <w:color w:val="000000" w:themeColor="text1"/>
        </w:rPr>
        <w:t xml:space="preserve"> range of inflation and even a 3 percent inflation is usually considered to be normal </w:t>
      </w:r>
      <w:r w:rsidR="005C303B">
        <w:rPr>
          <w:rFonts w:ascii="Times New Roman" w:hAnsi="Times New Roman" w:cs="Times New Roman"/>
          <w:color w:val="000000" w:themeColor="text1"/>
        </w:rPr>
        <w:t xml:space="preserve">from a western point of view. However, </w:t>
      </w:r>
      <w:r w:rsidR="002A738C">
        <w:rPr>
          <w:rFonts w:ascii="Times New Roman" w:hAnsi="Times New Roman" w:cs="Times New Roman"/>
          <w:color w:val="000000" w:themeColor="text1"/>
        </w:rPr>
        <w:t xml:space="preserve">even this increase in the inflation rate means that </w:t>
      </w:r>
      <w:r w:rsidR="00691571">
        <w:rPr>
          <w:rFonts w:ascii="Times New Roman" w:hAnsi="Times New Roman" w:cs="Times New Roman"/>
          <w:color w:val="000000" w:themeColor="text1"/>
        </w:rPr>
        <w:t>operational costs also increased for TSMC, such as wages or input prices.</w:t>
      </w:r>
    </w:p>
    <w:p w14:paraId="4744CE51" w14:textId="77777777" w:rsidR="00F75966" w:rsidRPr="00A12137" w:rsidRDefault="00F75966" w:rsidP="003307A6">
      <w:pPr>
        <w:spacing w:line="360" w:lineRule="auto"/>
        <w:jc w:val="both"/>
        <w:rPr>
          <w:rFonts w:ascii="Times New Roman" w:hAnsi="Times New Roman" w:cs="Times New Roman"/>
          <w:color w:val="000000" w:themeColor="text1"/>
        </w:rPr>
      </w:pPr>
    </w:p>
    <w:p w14:paraId="2469917C" w14:textId="34F4A93D" w:rsidR="00692B11" w:rsidRPr="003307A6" w:rsidRDefault="00087A56" w:rsidP="003307A6">
      <w:pPr>
        <w:spacing w:line="360" w:lineRule="auto"/>
        <w:jc w:val="both"/>
        <w:rPr>
          <w:rFonts w:ascii="Times New Roman" w:hAnsi="Times New Roman" w:cs="Times New Roman"/>
          <w:i/>
          <w:iCs/>
          <w:color w:val="000000" w:themeColor="text1"/>
        </w:rPr>
      </w:pPr>
      <w:r w:rsidRPr="003307A6">
        <w:rPr>
          <w:rFonts w:ascii="Times New Roman" w:hAnsi="Times New Roman" w:cs="Times New Roman"/>
          <w:i/>
          <w:iCs/>
          <w:color w:val="000000" w:themeColor="text1"/>
        </w:rPr>
        <w:t>Figure 3.4.1: Taiwan Inflation Rate</w:t>
      </w:r>
    </w:p>
    <w:p w14:paraId="0C4DF7A4" w14:textId="13CF3463" w:rsidR="00087A56" w:rsidRDefault="00692B11" w:rsidP="003307A6">
      <w:pPr>
        <w:spacing w:line="360" w:lineRule="auto"/>
        <w:jc w:val="both"/>
        <w:rPr>
          <w:rFonts w:ascii="Times New Roman" w:hAnsi="Times New Roman" w:cs="Times New Roman"/>
          <w:color w:val="000000" w:themeColor="text1"/>
        </w:rPr>
      </w:pPr>
      <w:r w:rsidRPr="00A12137">
        <w:rPr>
          <w:rFonts w:ascii="Times New Roman" w:hAnsi="Times New Roman" w:cs="Times New Roman"/>
          <w:noProof/>
          <w:color w:val="000000" w:themeColor="text1"/>
        </w:rPr>
        <w:drawing>
          <wp:inline distT="0" distB="0" distL="0" distR="0" wp14:anchorId="636269FD" wp14:editId="423C7C66">
            <wp:extent cx="5274527" cy="2930069"/>
            <wp:effectExtent l="12700" t="12700" r="8890" b="16510"/>
            <wp:docPr id="192248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8821" name="Picture 1922488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88481" cy="2937820"/>
                    </a:xfrm>
                    <a:prstGeom prst="rect">
                      <a:avLst/>
                    </a:prstGeom>
                    <a:ln w="6350">
                      <a:solidFill>
                        <a:schemeClr val="tx1"/>
                      </a:solidFill>
                    </a:ln>
                  </pic:spPr>
                </pic:pic>
              </a:graphicData>
            </a:graphic>
          </wp:inline>
        </w:drawing>
      </w:r>
    </w:p>
    <w:p w14:paraId="6562246D" w14:textId="77777777" w:rsidR="00691571" w:rsidRDefault="00691571" w:rsidP="003307A6">
      <w:pPr>
        <w:spacing w:line="360" w:lineRule="auto"/>
        <w:jc w:val="both"/>
        <w:rPr>
          <w:rFonts w:ascii="Times New Roman" w:hAnsi="Times New Roman" w:cs="Times New Roman"/>
          <w:color w:val="000000" w:themeColor="text1"/>
        </w:rPr>
      </w:pPr>
    </w:p>
    <w:p w14:paraId="4E38E58F" w14:textId="28D32965" w:rsidR="00CE0AD1" w:rsidRPr="00A12137" w:rsidRDefault="00691571" w:rsidP="00CE0AD1">
      <w:pPr>
        <w:spacing w:line="360" w:lineRule="auto"/>
        <w:ind w:firstLine="198"/>
        <w:jc w:val="both"/>
        <w:rPr>
          <w:rFonts w:ascii="Times New Roman" w:hAnsi="Times New Roman" w:cs="Times New Roman"/>
          <w:color w:val="000000" w:themeColor="text1"/>
        </w:rPr>
      </w:pPr>
      <w:r>
        <w:rPr>
          <w:rFonts w:ascii="Times New Roman" w:hAnsi="Times New Roman" w:cs="Times New Roman"/>
          <w:color w:val="000000" w:themeColor="text1"/>
        </w:rPr>
        <w:t>Furthermore, Figure 3.4.</w:t>
      </w:r>
      <w:r w:rsidR="00BC2A9F">
        <w:rPr>
          <w:rFonts w:ascii="Times New Roman" w:hAnsi="Times New Roman" w:cs="Times New Roman"/>
          <w:color w:val="000000" w:themeColor="text1"/>
        </w:rPr>
        <w:t>2 shows TSMC’s energy consumption in GWh</w:t>
      </w:r>
      <w:r w:rsidR="005B34BC">
        <w:rPr>
          <w:rFonts w:ascii="Times New Roman" w:hAnsi="Times New Roman" w:cs="Times New Roman"/>
          <w:color w:val="000000" w:themeColor="text1"/>
        </w:rPr>
        <w:t xml:space="preserve"> (Giga Watt hours) </w:t>
      </w:r>
      <w:r w:rsidR="00B00BEA">
        <w:rPr>
          <w:rFonts w:ascii="Times New Roman" w:hAnsi="Times New Roman" w:cs="Times New Roman"/>
          <w:color w:val="000000" w:themeColor="text1"/>
        </w:rPr>
        <w:t>between the period from 2020 until 2024</w:t>
      </w:r>
      <w:r w:rsidR="00CE0AD1">
        <w:rPr>
          <w:rFonts w:ascii="Times New Roman" w:hAnsi="Times New Roman" w:cs="Times New Roman"/>
          <w:color w:val="000000" w:themeColor="text1"/>
        </w:rPr>
        <w:t xml:space="preserve"> (since data from 2025 was not available by the writing of this paper). These numbers come from the company’s sustainability reports. </w:t>
      </w:r>
      <w:r w:rsidR="00BF0E7F">
        <w:rPr>
          <w:rFonts w:ascii="Times New Roman" w:hAnsi="Times New Roman" w:cs="Times New Roman"/>
          <w:color w:val="000000" w:themeColor="text1"/>
        </w:rPr>
        <w:t>The figure depicts a very rapid increase of the overall energy consumption of the company</w:t>
      </w:r>
      <w:r w:rsidR="00634D7E">
        <w:rPr>
          <w:rFonts w:ascii="Times New Roman" w:hAnsi="Times New Roman" w:cs="Times New Roman"/>
          <w:color w:val="000000" w:themeColor="text1"/>
        </w:rPr>
        <w:t xml:space="preserve">. This can largely be explained by the expansion of TSMC’s production capacity in this period. </w:t>
      </w:r>
      <w:r w:rsidR="00C914E4">
        <w:rPr>
          <w:rFonts w:ascii="Times New Roman" w:hAnsi="Times New Roman" w:cs="Times New Roman"/>
          <w:color w:val="000000" w:themeColor="text1"/>
        </w:rPr>
        <w:t xml:space="preserve">This shows how dependent TSMC actually is on fluctuating energy </w:t>
      </w:r>
      <w:r w:rsidR="00EF472D">
        <w:rPr>
          <w:rFonts w:ascii="Times New Roman" w:hAnsi="Times New Roman" w:cs="Times New Roman"/>
          <w:color w:val="000000" w:themeColor="text1"/>
        </w:rPr>
        <w:t>prices.</w:t>
      </w:r>
    </w:p>
    <w:p w14:paraId="505D2481" w14:textId="77777777" w:rsidR="00692B11" w:rsidRPr="00A12137" w:rsidRDefault="00692B11" w:rsidP="003307A6">
      <w:pPr>
        <w:spacing w:line="360" w:lineRule="auto"/>
        <w:jc w:val="both"/>
        <w:rPr>
          <w:rFonts w:ascii="Times New Roman" w:hAnsi="Times New Roman" w:cs="Times New Roman"/>
          <w:color w:val="000000" w:themeColor="text1"/>
        </w:rPr>
      </w:pPr>
    </w:p>
    <w:p w14:paraId="2CB408D2" w14:textId="782BB0A5" w:rsidR="003307A6" w:rsidRPr="003307A6" w:rsidRDefault="00087A56" w:rsidP="003307A6">
      <w:pPr>
        <w:spacing w:line="360" w:lineRule="auto"/>
        <w:jc w:val="both"/>
        <w:rPr>
          <w:rFonts w:ascii="Times New Roman" w:hAnsi="Times New Roman" w:cs="Times New Roman"/>
          <w:i/>
          <w:iCs/>
          <w:color w:val="000000" w:themeColor="text1"/>
        </w:rPr>
      </w:pPr>
      <w:r w:rsidRPr="003307A6">
        <w:rPr>
          <w:rFonts w:ascii="Times New Roman" w:hAnsi="Times New Roman" w:cs="Times New Roman"/>
          <w:i/>
          <w:iCs/>
          <w:color w:val="000000" w:themeColor="text1"/>
        </w:rPr>
        <w:lastRenderedPageBreak/>
        <w:t>Figure 3.4.2: TSMC Energy Consumption Over Time</w:t>
      </w:r>
    </w:p>
    <w:p w14:paraId="2066152E" w14:textId="6ED15267" w:rsidR="00087A56" w:rsidRPr="00A12137" w:rsidRDefault="00EB50FC" w:rsidP="003307A6">
      <w:pPr>
        <w:spacing w:line="360"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F5322EA" wp14:editId="226BF6BE">
            <wp:extent cx="5285678" cy="2936263"/>
            <wp:effectExtent l="12700" t="12700" r="10795" b="10160"/>
            <wp:docPr id="16447180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8063" name="Picture 16447180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16709" cy="2953501"/>
                    </a:xfrm>
                    <a:prstGeom prst="rect">
                      <a:avLst/>
                    </a:prstGeom>
                    <a:ln w="6350">
                      <a:solidFill>
                        <a:schemeClr val="tx1"/>
                      </a:solidFill>
                    </a:ln>
                  </pic:spPr>
                </pic:pic>
              </a:graphicData>
            </a:graphic>
          </wp:inline>
        </w:drawing>
      </w:r>
    </w:p>
    <w:p w14:paraId="0E529B0E" w14:textId="0553EF9D" w:rsidR="00EF472D" w:rsidRDefault="00EF472D" w:rsidP="00576DEB">
      <w:pPr>
        <w:spacing w:line="360" w:lineRule="auto"/>
        <w:rPr>
          <w:rFonts w:ascii="Times New Roman" w:hAnsi="Times New Roman" w:cs="Times New Roman"/>
        </w:rPr>
      </w:pPr>
    </w:p>
    <w:p w14:paraId="4EEBD003" w14:textId="78011DCE" w:rsidR="00EF472D" w:rsidRDefault="00240254" w:rsidP="00C86CE4">
      <w:pPr>
        <w:spacing w:line="360" w:lineRule="auto"/>
        <w:ind w:firstLine="198"/>
        <w:jc w:val="both"/>
        <w:rPr>
          <w:rFonts w:ascii="Times New Roman" w:hAnsi="Times New Roman" w:cs="Times New Roman"/>
        </w:rPr>
      </w:pPr>
      <w:r>
        <w:rPr>
          <w:rFonts w:ascii="Times New Roman" w:hAnsi="Times New Roman" w:cs="Times New Roman"/>
        </w:rPr>
        <w:t xml:space="preserve">To counter the possible effects of </w:t>
      </w:r>
      <w:r w:rsidR="00EA453A">
        <w:rPr>
          <w:rFonts w:ascii="Times New Roman" w:hAnsi="Times New Roman" w:cs="Times New Roman"/>
        </w:rPr>
        <w:t xml:space="preserve">inflationary shocks, the company employs some hedging tools. Some of them were talked about in previous sections, such as using </w:t>
      </w:r>
      <w:r w:rsidR="00825027">
        <w:rPr>
          <w:rFonts w:ascii="Times New Roman" w:hAnsi="Times New Roman" w:cs="Times New Roman"/>
        </w:rPr>
        <w:t>operational and financial hedging, and strategically expanding to other regions as part of a plan to geographically di</w:t>
      </w:r>
      <w:r w:rsidR="00C86CE4">
        <w:rPr>
          <w:rFonts w:ascii="Times New Roman" w:hAnsi="Times New Roman" w:cs="Times New Roman"/>
        </w:rPr>
        <w:t xml:space="preserve">versify operations. </w:t>
      </w:r>
      <w:r w:rsidR="007F2F32">
        <w:rPr>
          <w:rFonts w:ascii="Times New Roman" w:hAnsi="Times New Roman" w:cs="Times New Roman"/>
        </w:rPr>
        <w:t xml:space="preserve">In addition to these tools, TSMC invests in renewable </w:t>
      </w:r>
      <w:r w:rsidR="006D578A">
        <w:rPr>
          <w:rFonts w:ascii="Times New Roman" w:hAnsi="Times New Roman" w:cs="Times New Roman"/>
        </w:rPr>
        <w:t xml:space="preserve">energy to reduce its main inflationary exposure, which is to energy prices (TSMC, 2025). </w:t>
      </w:r>
      <w:r w:rsidR="00D02B50">
        <w:rPr>
          <w:rFonts w:ascii="Times New Roman" w:hAnsi="Times New Roman" w:cs="Times New Roman"/>
        </w:rPr>
        <w:t>Furthermore, long-term supply contracts and agreements</w:t>
      </w:r>
      <w:r w:rsidR="00984A37">
        <w:rPr>
          <w:rFonts w:ascii="Times New Roman" w:hAnsi="Times New Roman" w:cs="Times New Roman"/>
        </w:rPr>
        <w:t xml:space="preserve"> and diversification can decrease TSMC’s</w:t>
      </w:r>
      <w:r w:rsidR="00012C2C">
        <w:rPr>
          <w:rFonts w:ascii="Times New Roman" w:hAnsi="Times New Roman" w:cs="Times New Roman"/>
        </w:rPr>
        <w:t xml:space="preserve"> </w:t>
      </w:r>
      <w:r w:rsidR="00984A37">
        <w:rPr>
          <w:rFonts w:ascii="Times New Roman" w:hAnsi="Times New Roman" w:cs="Times New Roman"/>
        </w:rPr>
        <w:t>exposure to inflation rate risk.</w:t>
      </w:r>
    </w:p>
    <w:p w14:paraId="610191DA" w14:textId="07381A38" w:rsidR="00EB6770" w:rsidRPr="00576DEB" w:rsidRDefault="00BD5365" w:rsidP="00576DEB">
      <w:pPr>
        <w:spacing w:line="360" w:lineRule="auto"/>
        <w:rPr>
          <w:rFonts w:ascii="Times New Roman" w:hAnsi="Times New Roman" w:cs="Times New Roman"/>
          <w:color w:val="000000" w:themeColor="text1"/>
        </w:rPr>
      </w:pPr>
      <w:r w:rsidRPr="00A12137">
        <w:rPr>
          <w:rFonts w:ascii="Times New Roman" w:hAnsi="Times New Roman" w:cs="Times New Roman"/>
        </w:rPr>
        <w:br w:type="page"/>
      </w:r>
    </w:p>
    <w:p w14:paraId="7F3D82C5" w14:textId="188A8661" w:rsidR="00F23BE9" w:rsidRPr="001A5D7A" w:rsidRDefault="00F23BE9" w:rsidP="001A5D7A">
      <w:pPr>
        <w:pStyle w:val="Heading1"/>
        <w:spacing w:line="360" w:lineRule="auto"/>
        <w:rPr>
          <w:rFonts w:ascii="Times New Roman" w:hAnsi="Times New Roman" w:cs="Times New Roman"/>
        </w:rPr>
      </w:pPr>
      <w:bookmarkStart w:id="12" w:name="_Toc230603274"/>
      <w:r w:rsidRPr="00A12137">
        <w:rPr>
          <w:rFonts w:ascii="Times New Roman" w:hAnsi="Times New Roman" w:cs="Times New Roman"/>
        </w:rPr>
        <w:lastRenderedPageBreak/>
        <w:t>4</w:t>
      </w:r>
      <w:r w:rsidR="004058C1" w:rsidRPr="00A12137">
        <w:rPr>
          <w:rFonts w:ascii="Times New Roman" w:hAnsi="Times New Roman" w:cs="Times New Roman"/>
        </w:rPr>
        <w:t>.</w:t>
      </w:r>
      <w:r w:rsidRPr="00A12137">
        <w:rPr>
          <w:rFonts w:ascii="Times New Roman" w:hAnsi="Times New Roman" w:cs="Times New Roman"/>
        </w:rPr>
        <w:t xml:space="preserve"> </w:t>
      </w:r>
      <w:r w:rsidR="004058C1" w:rsidRPr="00A12137">
        <w:rPr>
          <w:rFonts w:ascii="Times New Roman" w:hAnsi="Times New Roman" w:cs="Times New Roman"/>
        </w:rPr>
        <w:t>Conclusion</w:t>
      </w:r>
      <w:r w:rsidR="6AC32931" w:rsidRPr="00A12137">
        <w:rPr>
          <w:rFonts w:ascii="Times New Roman" w:hAnsi="Times New Roman" w:cs="Times New Roman"/>
        </w:rPr>
        <w:t>s</w:t>
      </w:r>
      <w:bookmarkEnd w:id="12"/>
      <w:r w:rsidR="004058C1" w:rsidRPr="00A12137">
        <w:rPr>
          <w:rFonts w:ascii="Times New Roman" w:hAnsi="Times New Roman" w:cs="Times New Roman"/>
        </w:rPr>
        <w:t xml:space="preserve">  </w:t>
      </w:r>
    </w:p>
    <w:p w14:paraId="5F0557B5" w14:textId="17819403" w:rsidR="004058C1" w:rsidRDefault="1DBE57FE" w:rsidP="001A5D7A">
      <w:pPr>
        <w:spacing w:line="360" w:lineRule="auto"/>
        <w:ind w:firstLine="198"/>
        <w:jc w:val="both"/>
        <w:rPr>
          <w:rFonts w:ascii="Times New Roman" w:hAnsi="Times New Roman" w:cs="Times New Roman"/>
          <w:color w:val="000000" w:themeColor="text1"/>
        </w:rPr>
      </w:pPr>
      <w:r w:rsidRPr="00A12137">
        <w:rPr>
          <w:rFonts w:ascii="Times New Roman" w:hAnsi="Times New Roman" w:cs="Times New Roman"/>
          <w:color w:val="000000" w:themeColor="text1"/>
        </w:rPr>
        <w:t>T</w:t>
      </w:r>
      <w:r w:rsidR="00B22EEB">
        <w:rPr>
          <w:rFonts w:ascii="Times New Roman" w:hAnsi="Times New Roman" w:cs="Times New Roman"/>
          <w:color w:val="000000" w:themeColor="text1"/>
        </w:rPr>
        <w:t>his paper conducted financial analysis on TSMC’s financial and strategic risks, specifically focusing on interest rate risk, exchange rate risk, inflation rate risk and geopolitical risk. Moreover, the text also explored the various hedging strategies that TSMC uses to hedge against these exposures. The combination of the overview of financial risks theories in the theoretical framework and the empirical analysis into TSMC’s finances through looking at the company’s annual reports, financial statements and sustainability reports between 2020 and 2025 shows an extensive summary of how TSMC operates in real life and it uses different hedging tools to create a better financial outcome for the company.</w:t>
      </w:r>
    </w:p>
    <w:p w14:paraId="7FF2BDFA" w14:textId="050B079B" w:rsidR="00B22EEB" w:rsidRDefault="00B22EEB" w:rsidP="001A5D7A">
      <w:pPr>
        <w:spacing w:line="360" w:lineRule="auto"/>
        <w:ind w:firstLine="198"/>
        <w:jc w:val="both"/>
        <w:rPr>
          <w:rFonts w:ascii="Times New Roman" w:hAnsi="Times New Roman" w:cs="Times New Roman"/>
          <w:color w:val="000000" w:themeColor="text1"/>
        </w:rPr>
      </w:pPr>
      <w:r>
        <w:rPr>
          <w:rFonts w:ascii="Times New Roman" w:hAnsi="Times New Roman" w:cs="Times New Roman"/>
          <w:color w:val="000000" w:themeColor="text1"/>
        </w:rPr>
        <w:t>Despite a challenge of the first half of the 2020s and a rapidly evolving geopolitical environment, TSMC has managed to remain in a strong financial position with increased cash reserves and investing in large new production facilities. Specifically,  revenues and liquidity increased, profitability improved and capital expenditures rose. This could largely be a consequence of increasing demand for semiconductors from technological companies, especially from AI-related innovations. The company is rapidly investing in new facilities and technologies to match this rising demand from global markets.</w:t>
      </w:r>
    </w:p>
    <w:p w14:paraId="2141D149" w14:textId="4FC6CEA3" w:rsidR="00B22EEB" w:rsidRDefault="00B22EEB" w:rsidP="001A5D7A">
      <w:pPr>
        <w:spacing w:line="360" w:lineRule="auto"/>
        <w:ind w:firstLine="198"/>
        <w:jc w:val="both"/>
        <w:rPr>
          <w:rFonts w:ascii="Times New Roman" w:hAnsi="Times New Roman" w:cs="Times New Roman"/>
          <w:color w:val="000000" w:themeColor="text1"/>
        </w:rPr>
      </w:pPr>
      <w:r>
        <w:rPr>
          <w:rFonts w:ascii="Times New Roman" w:hAnsi="Times New Roman" w:cs="Times New Roman"/>
          <w:color w:val="000000" w:themeColor="text1"/>
        </w:rPr>
        <w:t>On the other hand, the paper also shows that TSMC is becoming more exposed to several forms of financial and strategic risks. Interest rate risk became more relevant for the company, as demonstrated by its increasing interest expenses (Figure 3.2.1). Exchange rate</w:t>
      </w:r>
      <w:r w:rsidR="0033648E">
        <w:rPr>
          <w:rFonts w:ascii="Times New Roman" w:hAnsi="Times New Roman" w:cs="Times New Roman"/>
          <w:color w:val="000000" w:themeColor="text1"/>
        </w:rPr>
        <w:t xml:space="preserve">s </w:t>
      </w:r>
      <w:r>
        <w:rPr>
          <w:rFonts w:ascii="Times New Roman" w:hAnsi="Times New Roman" w:cs="Times New Roman"/>
          <w:color w:val="000000" w:themeColor="text1"/>
        </w:rPr>
        <w:t xml:space="preserve">between the USD and NT$ </w:t>
      </w:r>
      <w:r w:rsidR="0033648E">
        <w:rPr>
          <w:rFonts w:ascii="Times New Roman" w:hAnsi="Times New Roman" w:cs="Times New Roman"/>
          <w:color w:val="000000" w:themeColor="text1"/>
        </w:rPr>
        <w:t xml:space="preserve">fluctuated relatively more than in the 2010s, in other words exchange rate volatility has increased, and this makes the company’s exchange rate risk higher (Figure 3.3). Furthermore, inflation also increased in Tawain, which made wages and input prices go up, in turn increasing the company’s operational costs (Figure 3.4.1). In addition, the expansion of TSMC into other markets and building new facilities has led to its energy consumption to increase exponentially between 2020 and 2024, this increases the company’s exposure to fluctuations in energy prices (Figure 3.4.2). Growing tensions and uncertainty between the two world superpowers, the USA and China have also affected TSMC due its being headquartered in Taiwan, which China sees as its own territory. This also increases the firm’s geopolitical risks, since </w:t>
      </w:r>
      <w:r w:rsidR="001A5D7A">
        <w:rPr>
          <w:rFonts w:ascii="Times New Roman" w:hAnsi="Times New Roman" w:cs="Times New Roman"/>
          <w:color w:val="000000" w:themeColor="text1"/>
        </w:rPr>
        <w:t>a</w:t>
      </w:r>
      <w:r w:rsidR="0033648E">
        <w:rPr>
          <w:rFonts w:ascii="Times New Roman" w:hAnsi="Times New Roman" w:cs="Times New Roman"/>
          <w:color w:val="000000" w:themeColor="text1"/>
        </w:rPr>
        <w:t xml:space="preserve"> possib</w:t>
      </w:r>
      <w:r w:rsidR="001A5D7A">
        <w:rPr>
          <w:rFonts w:ascii="Times New Roman" w:hAnsi="Times New Roman" w:cs="Times New Roman"/>
          <w:color w:val="000000" w:themeColor="text1"/>
        </w:rPr>
        <w:t>le</w:t>
      </w:r>
      <w:r w:rsidR="0033648E">
        <w:rPr>
          <w:rFonts w:ascii="Times New Roman" w:hAnsi="Times New Roman" w:cs="Times New Roman"/>
          <w:color w:val="000000" w:themeColor="text1"/>
        </w:rPr>
        <w:t xml:space="preserve"> military escalation between the countries </w:t>
      </w:r>
      <w:r w:rsidR="001A5D7A">
        <w:rPr>
          <w:rFonts w:ascii="Times New Roman" w:hAnsi="Times New Roman" w:cs="Times New Roman"/>
          <w:color w:val="000000" w:themeColor="text1"/>
        </w:rPr>
        <w:t>became more likely.</w:t>
      </w:r>
    </w:p>
    <w:p w14:paraId="1C82260D" w14:textId="26F5EBBE" w:rsidR="001A5D7A" w:rsidRDefault="001A5D7A" w:rsidP="001A5D7A">
      <w:pPr>
        <w:spacing w:line="360" w:lineRule="auto"/>
        <w:ind w:firstLine="198"/>
        <w:jc w:val="both"/>
        <w:rPr>
          <w:rFonts w:ascii="Times New Roman" w:hAnsi="Times New Roman" w:cs="Times New Roman"/>
          <w:color w:val="000000" w:themeColor="text1"/>
        </w:rPr>
      </w:pPr>
      <w:r>
        <w:rPr>
          <w:rFonts w:ascii="Times New Roman" w:hAnsi="Times New Roman" w:cs="Times New Roman"/>
          <w:color w:val="000000" w:themeColor="text1"/>
        </w:rPr>
        <w:t xml:space="preserve">At the same time, TSMC uses many different hedging techniques to reduce its exposure to these risks. These include using foreign exchange forward contracts, long-term investment planning, several forms of diversification and fair value hedging. The company also invests more into renewable energy sources to further reduce its exposure to fluctuation energy prices. Furthermore, the firm combines financial and operational hedging techniques to have the most optimal hedging strategy possible. </w:t>
      </w:r>
    </w:p>
    <w:p w14:paraId="28994CD5" w14:textId="6549F914" w:rsidR="00CC16D1" w:rsidRPr="00A12137" w:rsidRDefault="001A5D7A" w:rsidP="00012C2C">
      <w:pPr>
        <w:spacing w:line="360" w:lineRule="auto"/>
        <w:ind w:firstLine="198"/>
        <w:jc w:val="both"/>
        <w:rPr>
          <w:rFonts w:ascii="Times New Roman" w:hAnsi="Times New Roman" w:cs="Times New Roman"/>
          <w:color w:val="000000" w:themeColor="text1"/>
        </w:rPr>
      </w:pPr>
      <w:r>
        <w:rPr>
          <w:rFonts w:ascii="Times New Roman" w:hAnsi="Times New Roman" w:cs="Times New Roman"/>
          <w:color w:val="000000" w:themeColor="text1"/>
        </w:rPr>
        <w:t xml:space="preserve">In conclusion, the findings of this paper show that TSMC has managed to remain in a stable financial position, despite the </w:t>
      </w:r>
      <w:r w:rsidR="00012C2C">
        <w:rPr>
          <w:rFonts w:ascii="Times New Roman" w:hAnsi="Times New Roman" w:cs="Times New Roman"/>
          <w:color w:val="000000" w:themeColor="text1"/>
        </w:rPr>
        <w:t>ever-increasing</w:t>
      </w:r>
      <w:r>
        <w:rPr>
          <w:rFonts w:ascii="Times New Roman" w:hAnsi="Times New Roman" w:cs="Times New Roman"/>
          <w:color w:val="000000" w:themeColor="text1"/>
        </w:rPr>
        <w:t xml:space="preserve"> geopolitical uncertainties </w:t>
      </w:r>
      <w:r w:rsidR="00012C2C">
        <w:rPr>
          <w:rFonts w:ascii="Times New Roman" w:hAnsi="Times New Roman" w:cs="Times New Roman"/>
          <w:color w:val="000000" w:themeColor="text1"/>
        </w:rPr>
        <w:t>in the observed period of analysis. This resilience</w:t>
      </w:r>
      <w:r>
        <w:rPr>
          <w:rFonts w:ascii="Times New Roman" w:hAnsi="Times New Roman" w:cs="Times New Roman"/>
          <w:color w:val="000000" w:themeColor="text1"/>
        </w:rPr>
        <w:t xml:space="preserve"> </w:t>
      </w:r>
      <w:r w:rsidR="00012C2C">
        <w:rPr>
          <w:rFonts w:ascii="Times New Roman" w:hAnsi="Times New Roman" w:cs="Times New Roman"/>
          <w:color w:val="000000" w:themeColor="text1"/>
        </w:rPr>
        <w:t>can be seen by how TSMC’s profit margins have developed (Figure 3.1.6). While these results show a largely positive future outlook for TSMC, the firm’s financial stability and profitability will large depend on how it can balance the increasing risks in the semiconductor manufacturing industry.</w:t>
      </w:r>
    </w:p>
    <w:p w14:paraId="304CA887" w14:textId="6549F914" w:rsidR="00CC16D1" w:rsidRPr="003307A6" w:rsidRDefault="00CC16D1" w:rsidP="003307A6">
      <w:pPr>
        <w:pStyle w:val="Heading1"/>
        <w:spacing w:line="360" w:lineRule="auto"/>
        <w:rPr>
          <w:rFonts w:ascii="Times New Roman" w:hAnsi="Times New Roman" w:cs="Times New Roman"/>
          <w:i/>
          <w:iCs/>
        </w:rPr>
      </w:pPr>
      <w:bookmarkStart w:id="13" w:name="_Toc230603275"/>
      <w:r w:rsidRPr="00A12137">
        <w:rPr>
          <w:rFonts w:ascii="Times New Roman" w:hAnsi="Times New Roman" w:cs="Times New Roman"/>
          <w:i/>
          <w:iCs/>
        </w:rPr>
        <w:lastRenderedPageBreak/>
        <w:t>Appendix</w:t>
      </w:r>
      <w:bookmarkEnd w:id="13"/>
    </w:p>
    <w:p w14:paraId="732CE363" w14:textId="5CD3FE02" w:rsidR="004355EE" w:rsidRDefault="00A724E4" w:rsidP="003307A6">
      <w:pPr>
        <w:spacing w:line="360" w:lineRule="auto"/>
        <w:ind w:firstLine="198"/>
        <w:jc w:val="both"/>
        <w:rPr>
          <w:rFonts w:ascii="Times New Roman" w:hAnsi="Times New Roman" w:cs="Times New Roman"/>
          <w:color w:val="000000" w:themeColor="text1"/>
        </w:rPr>
      </w:pPr>
      <w:r w:rsidRPr="00A12137">
        <w:rPr>
          <w:rFonts w:ascii="Times New Roman" w:hAnsi="Times New Roman" w:cs="Times New Roman"/>
          <w:color w:val="000000" w:themeColor="text1"/>
        </w:rPr>
        <w:t xml:space="preserve">In this section, the code for the illustrations in the analysis section will briefly be explained. </w:t>
      </w:r>
      <w:r w:rsidR="00AE5CD2" w:rsidRPr="00A12137">
        <w:rPr>
          <w:rFonts w:ascii="Times New Roman" w:hAnsi="Times New Roman" w:cs="Times New Roman"/>
          <w:color w:val="000000" w:themeColor="text1"/>
        </w:rPr>
        <w:t xml:space="preserve">In Table 1 there is an overview of the variables used and where and how the data was gathered and founded. </w:t>
      </w:r>
      <w:r w:rsidR="00767FA4" w:rsidRPr="00A12137">
        <w:rPr>
          <w:rFonts w:ascii="Times New Roman" w:hAnsi="Times New Roman" w:cs="Times New Roman"/>
          <w:color w:val="000000" w:themeColor="text1"/>
        </w:rPr>
        <w:t xml:space="preserve">Also, the table includes the measurement unit that was used. </w:t>
      </w:r>
      <w:r w:rsidR="009B2C16" w:rsidRPr="00A12137">
        <w:rPr>
          <w:rFonts w:ascii="Times New Roman" w:hAnsi="Times New Roman" w:cs="Times New Roman"/>
          <w:color w:val="000000" w:themeColor="text1"/>
        </w:rPr>
        <w:t>For more details, the paper’s GitHub repository link is available</w:t>
      </w:r>
      <w:r w:rsidR="006644C0" w:rsidRPr="00A12137">
        <w:rPr>
          <w:rFonts w:ascii="Times New Roman" w:hAnsi="Times New Roman" w:cs="Times New Roman"/>
          <w:color w:val="000000" w:themeColor="text1"/>
        </w:rPr>
        <w:t xml:space="preserve"> in the references</w:t>
      </w:r>
      <w:r w:rsidR="009B2C16" w:rsidRPr="00A12137">
        <w:rPr>
          <w:rFonts w:ascii="Times New Roman" w:hAnsi="Times New Roman" w:cs="Times New Roman"/>
          <w:color w:val="000000" w:themeColor="text1"/>
        </w:rPr>
        <w:t xml:space="preserve"> and in there are the </w:t>
      </w:r>
      <w:r w:rsidR="002D204A" w:rsidRPr="00A12137">
        <w:rPr>
          <w:rFonts w:ascii="Times New Roman" w:hAnsi="Times New Roman" w:cs="Times New Roman"/>
          <w:color w:val="000000" w:themeColor="text1"/>
        </w:rPr>
        <w:t>coding file and the complete data frame for the analysis.</w:t>
      </w:r>
      <w:r w:rsidR="002F4DFF" w:rsidRPr="00A12137">
        <w:rPr>
          <w:rFonts w:ascii="Times New Roman" w:hAnsi="Times New Roman" w:cs="Times New Roman"/>
          <w:color w:val="000000" w:themeColor="text1"/>
        </w:rPr>
        <w:t xml:space="preserve"> All coding for this paper was done in Python.</w:t>
      </w:r>
    </w:p>
    <w:p w14:paraId="49496B10" w14:textId="77777777" w:rsidR="003307A6" w:rsidRPr="00A12137" w:rsidRDefault="003307A6" w:rsidP="003307A6">
      <w:pPr>
        <w:spacing w:line="360" w:lineRule="auto"/>
        <w:ind w:firstLine="198"/>
        <w:jc w:val="both"/>
        <w:rPr>
          <w:rFonts w:ascii="Times New Roman" w:hAnsi="Times New Roman" w:cs="Times New Roman"/>
          <w:color w:val="000000" w:themeColor="text1"/>
        </w:rPr>
      </w:pPr>
    </w:p>
    <w:p w14:paraId="0A1E3E38" w14:textId="78900E99" w:rsidR="002D204A" w:rsidRPr="003307A6" w:rsidRDefault="004355EE" w:rsidP="003307A6">
      <w:pPr>
        <w:spacing w:line="360" w:lineRule="auto"/>
        <w:rPr>
          <w:rFonts w:ascii="Times New Roman" w:hAnsi="Times New Roman" w:cs="Times New Roman"/>
          <w:i/>
          <w:iCs/>
          <w:color w:val="000000" w:themeColor="text1"/>
        </w:rPr>
      </w:pPr>
      <w:r w:rsidRPr="003307A6">
        <w:rPr>
          <w:rFonts w:ascii="Times New Roman" w:hAnsi="Times New Roman" w:cs="Times New Roman"/>
          <w:i/>
          <w:iCs/>
          <w:color w:val="000000" w:themeColor="text1"/>
        </w:rPr>
        <w:t>Table 1. Variables Information Table</w:t>
      </w:r>
    </w:p>
    <w:tbl>
      <w:tblPr>
        <w:tblStyle w:val="TableGrid"/>
        <w:tblW w:w="10485" w:type="dxa"/>
        <w:tblLook w:val="04A0" w:firstRow="1" w:lastRow="0" w:firstColumn="1" w:lastColumn="0" w:noHBand="0" w:noVBand="1"/>
      </w:tblPr>
      <w:tblGrid>
        <w:gridCol w:w="3256"/>
        <w:gridCol w:w="2693"/>
        <w:gridCol w:w="4536"/>
      </w:tblGrid>
      <w:tr w:rsidR="008F29CB" w:rsidRPr="00A12137" w14:paraId="7F468322" w14:textId="77777777" w:rsidTr="004355EE">
        <w:trPr>
          <w:trHeight w:val="529"/>
        </w:trPr>
        <w:tc>
          <w:tcPr>
            <w:tcW w:w="3256" w:type="dxa"/>
          </w:tcPr>
          <w:p w14:paraId="6ED8FB71" w14:textId="14A1BFC9" w:rsidR="008F29CB" w:rsidRPr="003307A6" w:rsidRDefault="008F29CB" w:rsidP="004058C1">
            <w:pPr>
              <w:rPr>
                <w:rFonts w:ascii="Times New Roman" w:hAnsi="Times New Roman" w:cs="Times New Roman"/>
                <w:b/>
                <w:bCs/>
                <w:color w:val="000000" w:themeColor="text1"/>
              </w:rPr>
            </w:pPr>
            <w:r w:rsidRPr="003307A6">
              <w:rPr>
                <w:rFonts w:ascii="Times New Roman" w:hAnsi="Times New Roman" w:cs="Times New Roman"/>
                <w:b/>
                <w:bCs/>
                <w:color w:val="000000" w:themeColor="text1"/>
              </w:rPr>
              <w:t>Name</w:t>
            </w:r>
          </w:p>
        </w:tc>
        <w:tc>
          <w:tcPr>
            <w:tcW w:w="2693" w:type="dxa"/>
          </w:tcPr>
          <w:p w14:paraId="15331DA8" w14:textId="0F9B7CEE" w:rsidR="008F29CB" w:rsidRPr="003307A6" w:rsidRDefault="008F29CB" w:rsidP="004058C1">
            <w:pPr>
              <w:rPr>
                <w:rFonts w:ascii="Times New Roman" w:hAnsi="Times New Roman" w:cs="Times New Roman"/>
                <w:b/>
                <w:bCs/>
                <w:color w:val="000000" w:themeColor="text1"/>
              </w:rPr>
            </w:pPr>
            <w:r w:rsidRPr="003307A6">
              <w:rPr>
                <w:rFonts w:ascii="Times New Roman" w:hAnsi="Times New Roman" w:cs="Times New Roman"/>
                <w:b/>
                <w:bCs/>
                <w:color w:val="000000" w:themeColor="text1"/>
              </w:rPr>
              <w:t>Measurement Unit</w:t>
            </w:r>
          </w:p>
        </w:tc>
        <w:tc>
          <w:tcPr>
            <w:tcW w:w="4536" w:type="dxa"/>
          </w:tcPr>
          <w:p w14:paraId="65057665" w14:textId="10534C09" w:rsidR="008F29CB" w:rsidRPr="003307A6" w:rsidRDefault="008F29CB" w:rsidP="004058C1">
            <w:pPr>
              <w:rPr>
                <w:rFonts w:ascii="Times New Roman" w:hAnsi="Times New Roman" w:cs="Times New Roman"/>
                <w:b/>
                <w:bCs/>
                <w:color w:val="000000" w:themeColor="text1"/>
              </w:rPr>
            </w:pPr>
            <w:r w:rsidRPr="003307A6">
              <w:rPr>
                <w:rFonts w:ascii="Times New Roman" w:hAnsi="Times New Roman" w:cs="Times New Roman"/>
                <w:b/>
                <w:bCs/>
                <w:color w:val="000000" w:themeColor="text1"/>
              </w:rPr>
              <w:t>Source</w:t>
            </w:r>
          </w:p>
        </w:tc>
      </w:tr>
      <w:tr w:rsidR="008F29CB" w:rsidRPr="00A12137" w14:paraId="507921D8" w14:textId="77777777" w:rsidTr="004355EE">
        <w:trPr>
          <w:trHeight w:val="551"/>
        </w:trPr>
        <w:tc>
          <w:tcPr>
            <w:tcW w:w="3256" w:type="dxa"/>
          </w:tcPr>
          <w:p w14:paraId="4F21BE04" w14:textId="3EF1B2AC" w:rsidR="008F29CB" w:rsidRPr="00A12137" w:rsidRDefault="008F29CB" w:rsidP="004058C1">
            <w:pPr>
              <w:rPr>
                <w:rFonts w:ascii="Times New Roman" w:hAnsi="Times New Roman" w:cs="Times New Roman"/>
                <w:color w:val="000000" w:themeColor="text1"/>
              </w:rPr>
            </w:pPr>
            <w:r w:rsidRPr="00A12137">
              <w:rPr>
                <w:rFonts w:ascii="Times New Roman" w:hAnsi="Times New Roman" w:cs="Times New Roman"/>
                <w:color w:val="000000" w:themeColor="text1"/>
              </w:rPr>
              <w:t>Year</w:t>
            </w:r>
          </w:p>
        </w:tc>
        <w:tc>
          <w:tcPr>
            <w:tcW w:w="2693" w:type="dxa"/>
          </w:tcPr>
          <w:p w14:paraId="5C83734C" w14:textId="79D1ACA8" w:rsidR="008F29CB" w:rsidRPr="00A12137" w:rsidRDefault="008F29CB" w:rsidP="004058C1">
            <w:pPr>
              <w:rPr>
                <w:rFonts w:ascii="Times New Roman" w:hAnsi="Times New Roman" w:cs="Times New Roman"/>
                <w:color w:val="000000" w:themeColor="text1"/>
              </w:rPr>
            </w:pPr>
            <w:r w:rsidRPr="00A12137">
              <w:rPr>
                <w:rFonts w:ascii="Times New Roman" w:hAnsi="Times New Roman" w:cs="Times New Roman"/>
                <w:color w:val="000000" w:themeColor="text1"/>
              </w:rPr>
              <w:t>Years (2020-2025)</w:t>
            </w:r>
          </w:p>
        </w:tc>
        <w:tc>
          <w:tcPr>
            <w:tcW w:w="4536" w:type="dxa"/>
          </w:tcPr>
          <w:p w14:paraId="39EB0E44" w14:textId="11E8C559" w:rsidR="008F29CB" w:rsidRPr="00A12137" w:rsidRDefault="008F29CB" w:rsidP="004058C1">
            <w:pPr>
              <w:rPr>
                <w:rFonts w:ascii="Times New Roman" w:hAnsi="Times New Roman" w:cs="Times New Roman"/>
                <w:color w:val="000000" w:themeColor="text1"/>
              </w:rPr>
            </w:pPr>
            <w:r w:rsidRPr="00A12137">
              <w:rPr>
                <w:rFonts w:ascii="Times New Roman" w:hAnsi="Times New Roman" w:cs="Times New Roman"/>
                <w:color w:val="000000" w:themeColor="text1"/>
              </w:rPr>
              <w:t>No sources.</w:t>
            </w:r>
          </w:p>
        </w:tc>
      </w:tr>
      <w:tr w:rsidR="008F29CB" w:rsidRPr="00A12137" w14:paraId="2E1F64A3" w14:textId="77777777" w:rsidTr="004355EE">
        <w:trPr>
          <w:trHeight w:val="857"/>
        </w:trPr>
        <w:tc>
          <w:tcPr>
            <w:tcW w:w="3256" w:type="dxa"/>
          </w:tcPr>
          <w:p w14:paraId="52143468" w14:textId="570CEAA5" w:rsidR="008F29CB" w:rsidRPr="00A12137" w:rsidRDefault="008F29CB" w:rsidP="004058C1">
            <w:pPr>
              <w:rPr>
                <w:rFonts w:ascii="Times New Roman" w:hAnsi="Times New Roman" w:cs="Times New Roman"/>
                <w:color w:val="000000" w:themeColor="text1"/>
              </w:rPr>
            </w:pPr>
            <w:r w:rsidRPr="00A12137">
              <w:rPr>
                <w:rFonts w:ascii="Times New Roman" w:hAnsi="Times New Roman" w:cs="Times New Roman"/>
                <w:color w:val="000000" w:themeColor="text1"/>
              </w:rPr>
              <w:t>Current Assets</w:t>
            </w:r>
          </w:p>
        </w:tc>
        <w:tc>
          <w:tcPr>
            <w:tcW w:w="2693" w:type="dxa"/>
          </w:tcPr>
          <w:p w14:paraId="6C2B6AEC" w14:textId="6C08F43C" w:rsidR="008F29CB" w:rsidRPr="00A12137" w:rsidRDefault="008F29CB" w:rsidP="004058C1">
            <w:pPr>
              <w:rPr>
                <w:rFonts w:ascii="Times New Roman" w:hAnsi="Times New Roman" w:cs="Times New Roman"/>
                <w:color w:val="000000" w:themeColor="text1"/>
              </w:rPr>
            </w:pPr>
            <w:r w:rsidRPr="00A12137">
              <w:rPr>
                <w:rFonts w:ascii="Times New Roman" w:hAnsi="Times New Roman" w:cs="Times New Roman"/>
                <w:color w:val="000000" w:themeColor="text1"/>
              </w:rPr>
              <w:t>New Taiwanese Dollar millions</w:t>
            </w:r>
          </w:p>
        </w:tc>
        <w:tc>
          <w:tcPr>
            <w:tcW w:w="4536" w:type="dxa"/>
          </w:tcPr>
          <w:p w14:paraId="1AB89A14" w14:textId="77777777" w:rsidR="008F29CB" w:rsidRPr="00A12137" w:rsidRDefault="001D2E05" w:rsidP="004058C1">
            <w:pPr>
              <w:rPr>
                <w:rFonts w:ascii="Times New Roman" w:hAnsi="Times New Roman" w:cs="Times New Roman"/>
                <w:color w:val="000000" w:themeColor="text1"/>
              </w:rPr>
            </w:pPr>
            <w:r w:rsidRPr="00A12137">
              <w:rPr>
                <w:rFonts w:ascii="Times New Roman" w:hAnsi="Times New Roman" w:cs="Times New Roman"/>
                <w:color w:val="000000" w:themeColor="text1"/>
              </w:rPr>
              <w:t>TSMC Financial Statements</w:t>
            </w:r>
            <w:r w:rsidRPr="00A12137">
              <w:rPr>
                <w:rFonts w:ascii="Times New Roman" w:hAnsi="Times New Roman" w:cs="Times New Roman"/>
                <w:color w:val="000000" w:themeColor="text1"/>
              </w:rPr>
              <w:t xml:space="preserve"> </w:t>
            </w:r>
          </w:p>
          <w:p w14:paraId="58B1C436" w14:textId="0D1B8B60" w:rsidR="001D2E05" w:rsidRPr="00A12137" w:rsidRDefault="001D2E05" w:rsidP="004058C1">
            <w:pPr>
              <w:rPr>
                <w:rFonts w:ascii="Times New Roman" w:hAnsi="Times New Roman" w:cs="Times New Roman"/>
                <w:color w:val="000000" w:themeColor="text1"/>
              </w:rPr>
            </w:pPr>
            <w:r w:rsidRPr="00A12137">
              <w:rPr>
                <w:rFonts w:ascii="Times New Roman" w:hAnsi="Times New Roman" w:cs="Times New Roman"/>
                <w:color w:val="000000" w:themeColor="text1"/>
              </w:rPr>
              <w:t>(TSMC,</w:t>
            </w:r>
            <w:r w:rsidR="00097C5D" w:rsidRPr="00A12137">
              <w:rPr>
                <w:rFonts w:ascii="Times New Roman" w:hAnsi="Times New Roman" w:cs="Times New Roman"/>
                <w:color w:val="000000" w:themeColor="text1"/>
              </w:rPr>
              <w:t xml:space="preserve"> </w:t>
            </w:r>
            <w:r w:rsidRPr="00A12137">
              <w:rPr>
                <w:rFonts w:ascii="Times New Roman" w:hAnsi="Times New Roman" w:cs="Times New Roman"/>
                <w:color w:val="000000" w:themeColor="text1"/>
              </w:rPr>
              <w:t>202</w:t>
            </w:r>
            <w:r w:rsidR="00097C5D" w:rsidRPr="00A12137">
              <w:rPr>
                <w:rFonts w:ascii="Times New Roman" w:hAnsi="Times New Roman" w:cs="Times New Roman"/>
                <w:color w:val="000000" w:themeColor="text1"/>
              </w:rPr>
              <w:t>2</w:t>
            </w:r>
            <w:r w:rsidRPr="00A12137">
              <w:rPr>
                <w:rFonts w:ascii="Times New Roman" w:hAnsi="Times New Roman" w:cs="Times New Roman"/>
                <w:color w:val="000000" w:themeColor="text1"/>
              </w:rPr>
              <w:t xml:space="preserve"> ; TSMC, 202</w:t>
            </w:r>
            <w:r w:rsidR="00097C5D" w:rsidRPr="00A12137">
              <w:rPr>
                <w:rFonts w:ascii="Times New Roman" w:hAnsi="Times New Roman" w:cs="Times New Roman"/>
                <w:color w:val="000000" w:themeColor="text1"/>
              </w:rPr>
              <w:t>3; TSM, 202</w:t>
            </w:r>
            <w:r w:rsidR="002D1366" w:rsidRPr="00A12137">
              <w:rPr>
                <w:rFonts w:ascii="Times New Roman" w:hAnsi="Times New Roman" w:cs="Times New Roman"/>
                <w:color w:val="000000" w:themeColor="text1"/>
              </w:rPr>
              <w:t>6</w:t>
            </w:r>
            <w:r w:rsidR="00097C5D" w:rsidRPr="00A12137">
              <w:rPr>
                <w:rFonts w:ascii="Times New Roman" w:hAnsi="Times New Roman" w:cs="Times New Roman"/>
                <w:color w:val="000000" w:themeColor="text1"/>
              </w:rPr>
              <w:t>)</w:t>
            </w:r>
          </w:p>
        </w:tc>
      </w:tr>
      <w:tr w:rsidR="00097C5D" w:rsidRPr="00A12137" w14:paraId="6B124E91" w14:textId="77777777" w:rsidTr="004355EE">
        <w:trPr>
          <w:trHeight w:val="699"/>
        </w:trPr>
        <w:tc>
          <w:tcPr>
            <w:tcW w:w="3256" w:type="dxa"/>
          </w:tcPr>
          <w:p w14:paraId="05649A29" w14:textId="60183CBD"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Current Assets</w:t>
            </w:r>
          </w:p>
        </w:tc>
        <w:tc>
          <w:tcPr>
            <w:tcW w:w="2693" w:type="dxa"/>
          </w:tcPr>
          <w:p w14:paraId="7F7ABB4E" w14:textId="3E14E2C3"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New Taiwanese Dollar millions</w:t>
            </w:r>
          </w:p>
        </w:tc>
        <w:tc>
          <w:tcPr>
            <w:tcW w:w="4536" w:type="dxa"/>
          </w:tcPr>
          <w:p w14:paraId="27A76335" w14:textId="77777777"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 xml:space="preserve">TSMC Financial Statements </w:t>
            </w:r>
          </w:p>
          <w:p w14:paraId="2270AA2E" w14:textId="4D971953"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(TSMC, 2022 ; TSMC, 2023; TSM, 202</w:t>
            </w:r>
            <w:r w:rsidR="002D1366" w:rsidRPr="00A12137">
              <w:rPr>
                <w:rFonts w:ascii="Times New Roman" w:hAnsi="Times New Roman" w:cs="Times New Roman"/>
                <w:color w:val="000000" w:themeColor="text1"/>
              </w:rPr>
              <w:t>6</w:t>
            </w:r>
            <w:r w:rsidRPr="00A12137">
              <w:rPr>
                <w:rFonts w:ascii="Times New Roman" w:hAnsi="Times New Roman" w:cs="Times New Roman"/>
                <w:color w:val="000000" w:themeColor="text1"/>
              </w:rPr>
              <w:t>)</w:t>
            </w:r>
          </w:p>
        </w:tc>
      </w:tr>
      <w:tr w:rsidR="00097C5D" w:rsidRPr="00A12137" w14:paraId="6E7BD529" w14:textId="77777777" w:rsidTr="004355EE">
        <w:trPr>
          <w:trHeight w:val="681"/>
        </w:trPr>
        <w:tc>
          <w:tcPr>
            <w:tcW w:w="3256" w:type="dxa"/>
          </w:tcPr>
          <w:p w14:paraId="385D0FFB" w14:textId="4EEC4991"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Cash</w:t>
            </w:r>
          </w:p>
        </w:tc>
        <w:tc>
          <w:tcPr>
            <w:tcW w:w="2693" w:type="dxa"/>
          </w:tcPr>
          <w:p w14:paraId="653ADB09" w14:textId="66889D4F"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New Taiwanese Dollar millions</w:t>
            </w:r>
          </w:p>
        </w:tc>
        <w:tc>
          <w:tcPr>
            <w:tcW w:w="4536" w:type="dxa"/>
          </w:tcPr>
          <w:p w14:paraId="40883103" w14:textId="77777777"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 xml:space="preserve">TSMC Financial Statements </w:t>
            </w:r>
          </w:p>
          <w:p w14:paraId="1DF1D3B8" w14:textId="55D1369D"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(TSMC, 2022 ; TSMC, 2023; TSM, 202</w:t>
            </w:r>
            <w:r w:rsidR="002D1366" w:rsidRPr="00A12137">
              <w:rPr>
                <w:rFonts w:ascii="Times New Roman" w:hAnsi="Times New Roman" w:cs="Times New Roman"/>
                <w:color w:val="000000" w:themeColor="text1"/>
              </w:rPr>
              <w:t>6</w:t>
            </w:r>
            <w:r w:rsidRPr="00A12137">
              <w:rPr>
                <w:rFonts w:ascii="Times New Roman" w:hAnsi="Times New Roman" w:cs="Times New Roman"/>
                <w:color w:val="000000" w:themeColor="text1"/>
              </w:rPr>
              <w:t>)</w:t>
            </w:r>
          </w:p>
        </w:tc>
      </w:tr>
      <w:tr w:rsidR="00097C5D" w:rsidRPr="00A12137" w14:paraId="5E5BCAD5" w14:textId="77777777" w:rsidTr="004355EE">
        <w:trPr>
          <w:trHeight w:val="691"/>
        </w:trPr>
        <w:tc>
          <w:tcPr>
            <w:tcW w:w="3256" w:type="dxa"/>
          </w:tcPr>
          <w:p w14:paraId="1FAD85CD" w14:textId="65AA3CDC"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Total Liabilities</w:t>
            </w:r>
          </w:p>
        </w:tc>
        <w:tc>
          <w:tcPr>
            <w:tcW w:w="2693" w:type="dxa"/>
          </w:tcPr>
          <w:p w14:paraId="5EF2BF58" w14:textId="5D31A8F4"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New Taiwanese Dollar millions</w:t>
            </w:r>
          </w:p>
        </w:tc>
        <w:tc>
          <w:tcPr>
            <w:tcW w:w="4536" w:type="dxa"/>
          </w:tcPr>
          <w:p w14:paraId="0213F7E9" w14:textId="77777777"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 xml:space="preserve">TSMC Financial Statements </w:t>
            </w:r>
          </w:p>
          <w:p w14:paraId="21A383D0" w14:textId="013081BC"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(TSMC, 2022 ; TSMC, 2023; TSM, 202</w:t>
            </w:r>
            <w:r w:rsidR="002D1366" w:rsidRPr="00A12137">
              <w:rPr>
                <w:rFonts w:ascii="Times New Roman" w:hAnsi="Times New Roman" w:cs="Times New Roman"/>
                <w:color w:val="000000" w:themeColor="text1"/>
              </w:rPr>
              <w:t>6</w:t>
            </w:r>
            <w:r w:rsidRPr="00A12137">
              <w:rPr>
                <w:rFonts w:ascii="Times New Roman" w:hAnsi="Times New Roman" w:cs="Times New Roman"/>
                <w:color w:val="000000" w:themeColor="text1"/>
              </w:rPr>
              <w:t>)</w:t>
            </w:r>
          </w:p>
        </w:tc>
      </w:tr>
      <w:tr w:rsidR="00097C5D" w:rsidRPr="00A12137" w14:paraId="20AAD314" w14:textId="77777777" w:rsidTr="004355EE">
        <w:trPr>
          <w:trHeight w:val="856"/>
        </w:trPr>
        <w:tc>
          <w:tcPr>
            <w:tcW w:w="3256" w:type="dxa"/>
          </w:tcPr>
          <w:p w14:paraId="028141E5" w14:textId="2446658B"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Revenue</w:t>
            </w:r>
          </w:p>
        </w:tc>
        <w:tc>
          <w:tcPr>
            <w:tcW w:w="2693" w:type="dxa"/>
          </w:tcPr>
          <w:p w14:paraId="33C9B2FA" w14:textId="018E2AEF"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New Taiwanese Dollar millions</w:t>
            </w:r>
          </w:p>
        </w:tc>
        <w:tc>
          <w:tcPr>
            <w:tcW w:w="4536" w:type="dxa"/>
          </w:tcPr>
          <w:p w14:paraId="0027A0E7" w14:textId="77777777"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 xml:space="preserve">TSMC Financial Statements </w:t>
            </w:r>
          </w:p>
          <w:p w14:paraId="5BE3F0EB" w14:textId="53E3AA26"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(TSMC, 2022 ; TSMC, 2023; TSM, 202</w:t>
            </w:r>
            <w:r w:rsidR="002D1366" w:rsidRPr="00A12137">
              <w:rPr>
                <w:rFonts w:ascii="Times New Roman" w:hAnsi="Times New Roman" w:cs="Times New Roman"/>
                <w:color w:val="000000" w:themeColor="text1"/>
              </w:rPr>
              <w:t>6)</w:t>
            </w:r>
          </w:p>
        </w:tc>
      </w:tr>
      <w:tr w:rsidR="00097C5D" w:rsidRPr="00A12137" w14:paraId="1F6D638F" w14:textId="77777777" w:rsidTr="004355EE">
        <w:trPr>
          <w:trHeight w:val="699"/>
        </w:trPr>
        <w:tc>
          <w:tcPr>
            <w:tcW w:w="3256" w:type="dxa"/>
          </w:tcPr>
          <w:p w14:paraId="54706AF9" w14:textId="616B78A7"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Net Income</w:t>
            </w:r>
          </w:p>
        </w:tc>
        <w:tc>
          <w:tcPr>
            <w:tcW w:w="2693" w:type="dxa"/>
          </w:tcPr>
          <w:p w14:paraId="77C4C1F2" w14:textId="3247B147"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New Taiwanese Dollar millions</w:t>
            </w:r>
          </w:p>
        </w:tc>
        <w:tc>
          <w:tcPr>
            <w:tcW w:w="4536" w:type="dxa"/>
          </w:tcPr>
          <w:p w14:paraId="2ECC2213" w14:textId="77777777"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 xml:space="preserve">TSMC Financial Statements </w:t>
            </w:r>
          </w:p>
          <w:p w14:paraId="52516BE8" w14:textId="7D2D7D6D"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(TSMC, 2022 ; TSMC, 2023; TSM, 202</w:t>
            </w:r>
            <w:r w:rsidR="002D1366" w:rsidRPr="00A12137">
              <w:rPr>
                <w:rFonts w:ascii="Times New Roman" w:hAnsi="Times New Roman" w:cs="Times New Roman"/>
                <w:color w:val="000000" w:themeColor="text1"/>
              </w:rPr>
              <w:t>6</w:t>
            </w:r>
            <w:r w:rsidRPr="00A12137">
              <w:rPr>
                <w:rFonts w:ascii="Times New Roman" w:hAnsi="Times New Roman" w:cs="Times New Roman"/>
                <w:color w:val="000000" w:themeColor="text1"/>
              </w:rPr>
              <w:t>)</w:t>
            </w:r>
          </w:p>
        </w:tc>
      </w:tr>
      <w:tr w:rsidR="00097C5D" w:rsidRPr="00A12137" w14:paraId="487B6BF3" w14:textId="77777777" w:rsidTr="004355EE">
        <w:trPr>
          <w:trHeight w:val="851"/>
        </w:trPr>
        <w:tc>
          <w:tcPr>
            <w:tcW w:w="3256" w:type="dxa"/>
          </w:tcPr>
          <w:p w14:paraId="42911846" w14:textId="5957C40A"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Capex</w:t>
            </w:r>
          </w:p>
        </w:tc>
        <w:tc>
          <w:tcPr>
            <w:tcW w:w="2693" w:type="dxa"/>
          </w:tcPr>
          <w:p w14:paraId="535D1F87" w14:textId="640A935A"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New Taiwanese Dollar millions</w:t>
            </w:r>
          </w:p>
        </w:tc>
        <w:tc>
          <w:tcPr>
            <w:tcW w:w="4536" w:type="dxa"/>
          </w:tcPr>
          <w:p w14:paraId="162DB94D" w14:textId="655296FF"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 xml:space="preserve">TSMC </w:t>
            </w:r>
            <w:r w:rsidR="00E17DF3" w:rsidRPr="00A12137">
              <w:rPr>
                <w:rFonts w:ascii="Times New Roman" w:hAnsi="Times New Roman" w:cs="Times New Roman"/>
                <w:color w:val="000000" w:themeColor="text1"/>
              </w:rPr>
              <w:t>Cash Flow Statements</w:t>
            </w:r>
          </w:p>
          <w:p w14:paraId="368F5FAD" w14:textId="6D389542"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(TSMC, 2022 ; TSMC, 2023; TSM, 202</w:t>
            </w:r>
            <w:r w:rsidR="002D1366" w:rsidRPr="00A12137">
              <w:rPr>
                <w:rFonts w:ascii="Times New Roman" w:hAnsi="Times New Roman" w:cs="Times New Roman"/>
                <w:color w:val="000000" w:themeColor="text1"/>
              </w:rPr>
              <w:t>6</w:t>
            </w:r>
            <w:r w:rsidRPr="00A12137">
              <w:rPr>
                <w:rFonts w:ascii="Times New Roman" w:hAnsi="Times New Roman" w:cs="Times New Roman"/>
                <w:color w:val="000000" w:themeColor="text1"/>
              </w:rPr>
              <w:t>)</w:t>
            </w:r>
          </w:p>
        </w:tc>
      </w:tr>
      <w:tr w:rsidR="00097C5D" w:rsidRPr="00A12137" w14:paraId="312F60F3" w14:textId="77777777" w:rsidTr="004355EE">
        <w:trPr>
          <w:trHeight w:val="835"/>
        </w:trPr>
        <w:tc>
          <w:tcPr>
            <w:tcW w:w="3256" w:type="dxa"/>
          </w:tcPr>
          <w:p w14:paraId="41E9181A" w14:textId="34752980"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Interest Expense</w:t>
            </w:r>
          </w:p>
        </w:tc>
        <w:tc>
          <w:tcPr>
            <w:tcW w:w="2693" w:type="dxa"/>
          </w:tcPr>
          <w:p w14:paraId="264E7A95" w14:textId="6393A2FB"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New Taiwanese Dollar millions</w:t>
            </w:r>
          </w:p>
        </w:tc>
        <w:tc>
          <w:tcPr>
            <w:tcW w:w="4536" w:type="dxa"/>
          </w:tcPr>
          <w:p w14:paraId="56425B45" w14:textId="77777777"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 xml:space="preserve">TSMC Financial Statements </w:t>
            </w:r>
          </w:p>
          <w:p w14:paraId="2BC17781" w14:textId="099F336A"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(TSMC, 2022 ; TSMC, 2023; TSM, 202</w:t>
            </w:r>
            <w:r w:rsidR="002D1366" w:rsidRPr="00A12137">
              <w:rPr>
                <w:rFonts w:ascii="Times New Roman" w:hAnsi="Times New Roman" w:cs="Times New Roman"/>
                <w:color w:val="000000" w:themeColor="text1"/>
              </w:rPr>
              <w:t>6</w:t>
            </w:r>
            <w:r w:rsidRPr="00A12137">
              <w:rPr>
                <w:rFonts w:ascii="Times New Roman" w:hAnsi="Times New Roman" w:cs="Times New Roman"/>
                <w:color w:val="000000" w:themeColor="text1"/>
              </w:rPr>
              <w:t>)</w:t>
            </w:r>
          </w:p>
        </w:tc>
      </w:tr>
      <w:tr w:rsidR="00097C5D" w:rsidRPr="00A12137" w14:paraId="3B1B058C" w14:textId="77777777" w:rsidTr="004355EE">
        <w:trPr>
          <w:trHeight w:val="833"/>
        </w:trPr>
        <w:tc>
          <w:tcPr>
            <w:tcW w:w="3256" w:type="dxa"/>
          </w:tcPr>
          <w:p w14:paraId="01A71489" w14:textId="05340DC2"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USD/TWD</w:t>
            </w:r>
          </w:p>
        </w:tc>
        <w:tc>
          <w:tcPr>
            <w:tcW w:w="2693" w:type="dxa"/>
          </w:tcPr>
          <w:p w14:paraId="01CB7F79" w14:textId="3B77EA48" w:rsidR="00097C5D" w:rsidRPr="00A12137" w:rsidRDefault="00097C5D"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Annual monthly average value</w:t>
            </w:r>
          </w:p>
        </w:tc>
        <w:tc>
          <w:tcPr>
            <w:tcW w:w="4536" w:type="dxa"/>
          </w:tcPr>
          <w:p w14:paraId="76E6052B" w14:textId="463D8E6E" w:rsidR="00097C5D" w:rsidRPr="00A12137" w:rsidRDefault="004355EE" w:rsidP="00097C5D">
            <w:pPr>
              <w:rPr>
                <w:rFonts w:ascii="Times New Roman" w:hAnsi="Times New Roman" w:cs="Times New Roman"/>
                <w:color w:val="000000" w:themeColor="text1"/>
              </w:rPr>
            </w:pPr>
            <w:r w:rsidRPr="00A12137">
              <w:rPr>
                <w:rFonts w:ascii="Times New Roman" w:hAnsi="Times New Roman" w:cs="Times New Roman"/>
                <w:color w:val="000000" w:themeColor="text1"/>
              </w:rPr>
              <w:t xml:space="preserve">Investing.com </w:t>
            </w:r>
            <w:r w:rsidR="006972E8" w:rsidRPr="00A12137">
              <w:rPr>
                <w:rFonts w:ascii="Times New Roman" w:hAnsi="Times New Roman" w:cs="Times New Roman"/>
                <w:color w:val="000000" w:themeColor="text1"/>
              </w:rPr>
              <w:t>yearly data</w:t>
            </w:r>
          </w:p>
        </w:tc>
      </w:tr>
      <w:tr w:rsidR="0056111E" w:rsidRPr="00A12137" w14:paraId="461D55C9" w14:textId="77777777" w:rsidTr="004355EE">
        <w:trPr>
          <w:trHeight w:val="560"/>
        </w:trPr>
        <w:tc>
          <w:tcPr>
            <w:tcW w:w="3256" w:type="dxa"/>
          </w:tcPr>
          <w:p w14:paraId="16B0A64D" w14:textId="07E1603D" w:rsidR="0056111E" w:rsidRPr="00A12137" w:rsidRDefault="0056111E" w:rsidP="0056111E">
            <w:pPr>
              <w:rPr>
                <w:rFonts w:ascii="Times New Roman" w:hAnsi="Times New Roman" w:cs="Times New Roman"/>
                <w:color w:val="000000" w:themeColor="text1"/>
              </w:rPr>
            </w:pPr>
            <w:r w:rsidRPr="00A12137">
              <w:rPr>
                <w:rFonts w:ascii="Times New Roman" w:hAnsi="Times New Roman" w:cs="Times New Roman"/>
                <w:color w:val="000000" w:themeColor="text1"/>
              </w:rPr>
              <w:t>Inflation Rate</w:t>
            </w:r>
          </w:p>
        </w:tc>
        <w:tc>
          <w:tcPr>
            <w:tcW w:w="2693" w:type="dxa"/>
          </w:tcPr>
          <w:p w14:paraId="11E894AB" w14:textId="554D3DC0" w:rsidR="0056111E" w:rsidRPr="00A12137" w:rsidRDefault="0056111E" w:rsidP="0056111E">
            <w:pPr>
              <w:rPr>
                <w:rFonts w:ascii="Times New Roman" w:hAnsi="Times New Roman" w:cs="Times New Roman"/>
                <w:color w:val="000000" w:themeColor="text1"/>
              </w:rPr>
            </w:pPr>
            <w:r w:rsidRPr="00A12137">
              <w:rPr>
                <w:rFonts w:ascii="Times New Roman" w:hAnsi="Times New Roman" w:cs="Times New Roman"/>
                <w:color w:val="000000" w:themeColor="text1"/>
              </w:rPr>
              <w:t>Percentage change</w:t>
            </w:r>
          </w:p>
        </w:tc>
        <w:tc>
          <w:tcPr>
            <w:tcW w:w="4536" w:type="dxa"/>
          </w:tcPr>
          <w:p w14:paraId="229C1C8B" w14:textId="6763AE7A" w:rsidR="0056111E" w:rsidRPr="00A12137" w:rsidRDefault="0056111E" w:rsidP="0056111E">
            <w:pPr>
              <w:rPr>
                <w:rFonts w:ascii="Times New Roman" w:hAnsi="Times New Roman" w:cs="Times New Roman"/>
                <w:color w:val="000000" w:themeColor="text1"/>
              </w:rPr>
            </w:pPr>
            <w:r w:rsidRPr="00A12137">
              <w:rPr>
                <w:rFonts w:ascii="Times New Roman" w:hAnsi="Times New Roman" w:cs="Times New Roman"/>
                <w:color w:val="000000" w:themeColor="text1"/>
              </w:rPr>
              <w:t>DGBAS Taiwan Statistics (DGBAS)</w:t>
            </w:r>
          </w:p>
        </w:tc>
      </w:tr>
      <w:tr w:rsidR="0056111E" w:rsidRPr="00A12137" w14:paraId="71DA32A4" w14:textId="77777777" w:rsidTr="004355EE">
        <w:trPr>
          <w:trHeight w:val="697"/>
        </w:trPr>
        <w:tc>
          <w:tcPr>
            <w:tcW w:w="3256" w:type="dxa"/>
          </w:tcPr>
          <w:p w14:paraId="6E70E6F8" w14:textId="252E8C7A" w:rsidR="0056111E" w:rsidRPr="00A12137" w:rsidRDefault="0056111E" w:rsidP="0056111E">
            <w:pPr>
              <w:rPr>
                <w:rFonts w:ascii="Times New Roman" w:hAnsi="Times New Roman" w:cs="Times New Roman"/>
                <w:color w:val="000000" w:themeColor="text1"/>
              </w:rPr>
            </w:pPr>
            <w:r w:rsidRPr="00A12137">
              <w:rPr>
                <w:rFonts w:ascii="Times New Roman" w:hAnsi="Times New Roman" w:cs="Times New Roman"/>
                <w:color w:val="000000" w:themeColor="text1"/>
              </w:rPr>
              <w:t>Energy Consumption</w:t>
            </w:r>
          </w:p>
        </w:tc>
        <w:tc>
          <w:tcPr>
            <w:tcW w:w="2693" w:type="dxa"/>
          </w:tcPr>
          <w:p w14:paraId="20D56F0D" w14:textId="77777777" w:rsidR="0056111E" w:rsidRPr="00A12137" w:rsidRDefault="0056111E" w:rsidP="0056111E">
            <w:pPr>
              <w:rPr>
                <w:rFonts w:ascii="Times New Roman" w:hAnsi="Times New Roman" w:cs="Times New Roman"/>
                <w:color w:val="000000" w:themeColor="text1"/>
              </w:rPr>
            </w:pPr>
            <w:r w:rsidRPr="00A12137">
              <w:rPr>
                <w:rFonts w:ascii="Times New Roman" w:hAnsi="Times New Roman" w:cs="Times New Roman"/>
                <w:color w:val="000000" w:themeColor="text1"/>
              </w:rPr>
              <w:t xml:space="preserve">In GWh </w:t>
            </w:r>
          </w:p>
          <w:p w14:paraId="7C59A7F5" w14:textId="1D5A06B9" w:rsidR="0056111E" w:rsidRPr="00A12137" w:rsidRDefault="0056111E" w:rsidP="0056111E">
            <w:pPr>
              <w:rPr>
                <w:rFonts w:ascii="Times New Roman" w:hAnsi="Times New Roman" w:cs="Times New Roman"/>
                <w:color w:val="000000" w:themeColor="text1"/>
              </w:rPr>
            </w:pPr>
            <w:r w:rsidRPr="00A12137">
              <w:rPr>
                <w:rFonts w:ascii="Times New Roman" w:hAnsi="Times New Roman" w:cs="Times New Roman"/>
                <w:color w:val="000000" w:themeColor="text1"/>
              </w:rPr>
              <w:t>(no value for 2025 yet)</w:t>
            </w:r>
          </w:p>
        </w:tc>
        <w:tc>
          <w:tcPr>
            <w:tcW w:w="4536" w:type="dxa"/>
          </w:tcPr>
          <w:p w14:paraId="168D698D" w14:textId="269BD60A" w:rsidR="0056111E" w:rsidRPr="00A12137" w:rsidRDefault="004355EE" w:rsidP="0056111E">
            <w:pPr>
              <w:rPr>
                <w:rFonts w:ascii="Times New Roman" w:hAnsi="Times New Roman" w:cs="Times New Roman"/>
                <w:color w:val="000000" w:themeColor="text1"/>
              </w:rPr>
            </w:pPr>
            <w:r w:rsidRPr="00A12137">
              <w:rPr>
                <w:rFonts w:ascii="Times New Roman" w:hAnsi="Times New Roman" w:cs="Times New Roman"/>
                <w:color w:val="000000" w:themeColor="text1"/>
              </w:rPr>
              <w:t>TSMC climate sustainability report (TSMC Sustainability report, 2025)</w:t>
            </w:r>
          </w:p>
        </w:tc>
      </w:tr>
    </w:tbl>
    <w:p w14:paraId="1B3FED67" w14:textId="77777777" w:rsidR="002D204A" w:rsidRPr="00A12137" w:rsidRDefault="002D204A" w:rsidP="004058C1">
      <w:pPr>
        <w:rPr>
          <w:rFonts w:ascii="Times New Roman" w:hAnsi="Times New Roman" w:cs="Times New Roman"/>
          <w:color w:val="000000" w:themeColor="text1"/>
        </w:rPr>
      </w:pPr>
    </w:p>
    <w:p w14:paraId="13AC7E80" w14:textId="77777777" w:rsidR="00BD5365" w:rsidRPr="00A12137" w:rsidRDefault="00BD5365">
      <w:pPr>
        <w:rPr>
          <w:rFonts w:ascii="Times New Roman" w:eastAsiaTheme="majorEastAsia" w:hAnsi="Times New Roman" w:cs="Times New Roman"/>
          <w:i/>
          <w:iCs/>
          <w:color w:val="0F4761" w:themeColor="accent1" w:themeShade="BF"/>
          <w:sz w:val="40"/>
          <w:szCs w:val="40"/>
        </w:rPr>
      </w:pPr>
      <w:r w:rsidRPr="00A12137">
        <w:rPr>
          <w:rFonts w:ascii="Times New Roman" w:hAnsi="Times New Roman" w:cs="Times New Roman"/>
          <w:i/>
          <w:iCs/>
        </w:rPr>
        <w:br w:type="page"/>
      </w:r>
    </w:p>
    <w:p w14:paraId="63396DE1" w14:textId="25100A98" w:rsidR="000D4233" w:rsidRPr="003307A6" w:rsidRDefault="004058C1" w:rsidP="003307A6">
      <w:pPr>
        <w:pStyle w:val="Heading1"/>
        <w:rPr>
          <w:rFonts w:ascii="Times New Roman" w:hAnsi="Times New Roman" w:cs="Times New Roman"/>
          <w:i/>
          <w:iCs/>
        </w:rPr>
      </w:pPr>
      <w:bookmarkStart w:id="14" w:name="_Toc230603276"/>
      <w:r w:rsidRPr="00A12137">
        <w:rPr>
          <w:rFonts w:ascii="Times New Roman" w:hAnsi="Times New Roman" w:cs="Times New Roman"/>
          <w:i/>
          <w:iCs/>
        </w:rPr>
        <w:lastRenderedPageBreak/>
        <w:t>References</w:t>
      </w:r>
      <w:bookmarkEnd w:id="14"/>
      <w:r w:rsidRPr="00A12137">
        <w:rPr>
          <w:rFonts w:ascii="Times New Roman" w:hAnsi="Times New Roman" w:cs="Times New Roman"/>
          <w:i/>
          <w:iCs/>
        </w:rPr>
        <w:t xml:space="preserve">   </w:t>
      </w:r>
    </w:p>
    <w:p w14:paraId="4B73DF79" w14:textId="0F3659FD"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Alvarez, F., Lucas, R. E., Jr., &amp; Weber, W. E. (2001). Interest rates and inflation. </w:t>
      </w:r>
      <w:r w:rsidRPr="00A40F45">
        <w:rPr>
          <w:rFonts w:ascii="Times New Roman" w:eastAsia="Times New Roman" w:hAnsi="Times New Roman" w:cs="Times New Roman"/>
          <w:i/>
          <w:iCs/>
          <w:color w:val="000000" w:themeColor="text1"/>
          <w:lang w:val="en-HU" w:eastAsia="en-GB"/>
        </w:rPr>
        <w:t xml:space="preserve">American Economic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Review, 91</w:t>
      </w:r>
      <w:r w:rsidRPr="00A40F45">
        <w:rPr>
          <w:rFonts w:ascii="Times New Roman" w:eastAsia="Times New Roman" w:hAnsi="Times New Roman" w:cs="Times New Roman"/>
          <w:color w:val="000000" w:themeColor="text1"/>
          <w:lang w:val="en-HU" w:eastAsia="en-GB"/>
        </w:rPr>
        <w:t>(2), 219–225. </w:t>
      </w:r>
      <w:hyperlink r:id="rId21" w:history="1">
        <w:r w:rsidRPr="00A40F45">
          <w:rPr>
            <w:rStyle w:val="Hyperlink"/>
            <w:rFonts w:eastAsia="Times New Roman"/>
            <w:lang w:val="en-HU" w:eastAsia="en-GB"/>
          </w:rPr>
          <w:t>https://doi.org/10.1257/aer.91.2.219</w:t>
        </w:r>
      </w:hyperlink>
    </w:p>
    <w:p w14:paraId="3750F462" w14:textId="77777777"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Bush, R. C. (2017). </w:t>
      </w:r>
      <w:r w:rsidRPr="00A40F45">
        <w:rPr>
          <w:rFonts w:ascii="Times New Roman" w:eastAsia="Times New Roman" w:hAnsi="Times New Roman" w:cs="Times New Roman"/>
          <w:i/>
          <w:iCs/>
          <w:color w:val="000000" w:themeColor="text1"/>
          <w:lang w:val="en-HU" w:eastAsia="en-GB"/>
        </w:rPr>
        <w:t>A One-China policy primer</w:t>
      </w:r>
      <w:r w:rsidRPr="00A40F45">
        <w:rPr>
          <w:rFonts w:ascii="Times New Roman" w:eastAsia="Times New Roman" w:hAnsi="Times New Roman" w:cs="Times New Roman"/>
          <w:color w:val="000000" w:themeColor="text1"/>
          <w:lang w:val="en-HU" w:eastAsia="en-GB"/>
        </w:rPr>
        <w:t> (East Asia Policy Paper No. 10). Brookings Institution.</w:t>
      </w:r>
    </w:p>
    <w:p w14:paraId="37BC1BC2" w14:textId="76CEE169"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Deloitte. (2025, February 12). </w:t>
      </w:r>
      <w:r w:rsidRPr="00A40F45">
        <w:rPr>
          <w:rFonts w:ascii="Times New Roman" w:eastAsia="Times New Roman" w:hAnsi="Times New Roman" w:cs="Times New Roman"/>
          <w:i/>
          <w:iCs/>
          <w:color w:val="000000" w:themeColor="text1"/>
          <w:lang w:val="en-HU" w:eastAsia="en-GB"/>
        </w:rPr>
        <w:t xml:space="preserve">Taiwan Semiconductor Manufacturing Company Limited and subsidiaries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 xml:space="preserve">consolidated financial statements for the years ended December 31, 2024 and 2023 and independent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auditors’ report</w:t>
      </w:r>
      <w:r w:rsidRPr="00A40F45">
        <w:rPr>
          <w:rFonts w:ascii="Times New Roman" w:eastAsia="Times New Roman" w:hAnsi="Times New Roman" w:cs="Times New Roman"/>
          <w:color w:val="000000" w:themeColor="text1"/>
          <w:lang w:val="en-HU" w:eastAsia="en-GB"/>
        </w:rPr>
        <w:t>. </w:t>
      </w:r>
      <w:hyperlink r:id="rId22" w:history="1">
        <w:r w:rsidRPr="00A40F45">
          <w:rPr>
            <w:rStyle w:val="Hyperlink"/>
            <w:rFonts w:eastAsia="Times New Roman"/>
            <w:lang w:val="en-HU" w:eastAsia="en-GB"/>
          </w:rPr>
          <w:t>https://www.deloitte.com</w:t>
        </w:r>
      </w:hyperlink>
    </w:p>
    <w:p w14:paraId="4681B83E" w14:textId="1C8816E0"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Directorate-General of Budget, Accounting and Statistics. (n.d.). </w:t>
      </w:r>
      <w:r w:rsidRPr="00A40F45">
        <w:rPr>
          <w:rFonts w:ascii="Times New Roman" w:eastAsia="Times New Roman" w:hAnsi="Times New Roman" w:cs="Times New Roman"/>
          <w:i/>
          <w:iCs/>
          <w:color w:val="000000" w:themeColor="text1"/>
          <w:lang w:val="en-HU" w:eastAsia="en-GB"/>
        </w:rPr>
        <w:t xml:space="preserve">Annual change of consumer price indices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in Taiwan area</w:t>
      </w:r>
      <w:r w:rsidRPr="00A40F45">
        <w:rPr>
          <w:rFonts w:ascii="Times New Roman" w:eastAsia="Times New Roman" w:hAnsi="Times New Roman" w:cs="Times New Roman"/>
          <w:color w:val="000000" w:themeColor="text1"/>
          <w:lang w:val="en-HU" w:eastAsia="en-GB"/>
        </w:rPr>
        <w:t xml:space="preserve">. Executive Yuan, Taiwan. Retrieved May 24, 2026, </w:t>
      </w:r>
      <w:r>
        <w:rPr>
          <w:rFonts w:ascii="Times New Roman" w:eastAsia="Times New Roman" w:hAnsi="Times New Roman" w:cs="Times New Roman"/>
          <w:color w:val="000000" w:themeColor="text1"/>
          <w:lang w:val="en-HU" w:eastAsia="en-GB"/>
        </w:rPr>
        <w:tab/>
      </w:r>
      <w:r w:rsidRPr="00A40F45">
        <w:rPr>
          <w:rFonts w:ascii="Times New Roman" w:eastAsia="Times New Roman" w:hAnsi="Times New Roman" w:cs="Times New Roman"/>
          <w:color w:val="000000" w:themeColor="text1"/>
          <w:lang w:val="en-HU" w:eastAsia="en-GB"/>
        </w:rPr>
        <w:t>from </w:t>
      </w:r>
      <w:hyperlink r:id="rId23" w:history="1">
        <w:r w:rsidRPr="00A40F45">
          <w:rPr>
            <w:rStyle w:val="Hyperlink"/>
            <w:rFonts w:eastAsia="Times New Roman"/>
            <w:lang w:val="en-HU" w:eastAsia="en-GB"/>
          </w:rPr>
          <w:t>https://eng.stat.gov.tw/ct.asp?xItem=37408&amp;ctNode=5347&amp;mp=5</w:t>
        </w:r>
      </w:hyperlink>
    </w:p>
    <w:p w14:paraId="79860966" w14:textId="2BE24374"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European Central Bank. (2023). </w:t>
      </w:r>
      <w:r w:rsidRPr="00A40F45">
        <w:rPr>
          <w:rFonts w:ascii="Times New Roman" w:eastAsia="Times New Roman" w:hAnsi="Times New Roman" w:cs="Times New Roman"/>
          <w:i/>
          <w:iCs/>
          <w:color w:val="000000" w:themeColor="text1"/>
          <w:lang w:val="en-HU" w:eastAsia="en-GB"/>
        </w:rPr>
        <w:t xml:space="preserve">Geopolitical fragmentation and the international role of the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euro</w:t>
      </w:r>
      <w:r w:rsidRPr="00A40F45">
        <w:rPr>
          <w:rFonts w:ascii="Times New Roman" w:eastAsia="Times New Roman" w:hAnsi="Times New Roman" w:cs="Times New Roman"/>
          <w:color w:val="000000" w:themeColor="text1"/>
          <w:lang w:val="en-HU" w:eastAsia="en-GB"/>
        </w:rPr>
        <w:t>. </w:t>
      </w:r>
      <w:hyperlink r:id="rId24" w:history="1">
        <w:r w:rsidRPr="00A40F45">
          <w:rPr>
            <w:rStyle w:val="Hyperlink"/>
            <w:rFonts w:eastAsia="Times New Roman"/>
            <w:lang w:val="en-HU" w:eastAsia="en-GB"/>
          </w:rPr>
          <w:t>https://www.ecb.europa.eu/pub/html/index.en.html</w:t>
        </w:r>
      </w:hyperlink>
    </w:p>
    <w:p w14:paraId="262376F5" w14:textId="224275D6"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Gonzales, J. T. (2023). Implications of AI innovation on economic growth: A panel data study. </w:t>
      </w:r>
      <w:r w:rsidRPr="00A40F45">
        <w:rPr>
          <w:rFonts w:ascii="Times New Roman" w:eastAsia="Times New Roman" w:hAnsi="Times New Roman" w:cs="Times New Roman"/>
          <w:i/>
          <w:iCs/>
          <w:color w:val="000000" w:themeColor="text1"/>
          <w:lang w:val="en-HU" w:eastAsia="en-GB"/>
        </w:rPr>
        <w:t xml:space="preserve">Journal of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Economic Structures, 12</w:t>
      </w:r>
      <w:r w:rsidRPr="00A40F45">
        <w:rPr>
          <w:rFonts w:ascii="Times New Roman" w:eastAsia="Times New Roman" w:hAnsi="Times New Roman" w:cs="Times New Roman"/>
          <w:color w:val="000000" w:themeColor="text1"/>
          <w:lang w:val="en-HU" w:eastAsia="en-GB"/>
        </w:rPr>
        <w:t>(1), Article 13. </w:t>
      </w:r>
      <w:hyperlink r:id="rId25" w:history="1">
        <w:r w:rsidRPr="00A40F45">
          <w:rPr>
            <w:rStyle w:val="Hyperlink"/>
            <w:rFonts w:eastAsia="Times New Roman"/>
            <w:lang w:val="en-HU" w:eastAsia="en-GB"/>
          </w:rPr>
          <w:t>https://doi.org/10.1186/s40008-023-00307-w</w:t>
        </w:r>
      </w:hyperlink>
    </w:p>
    <w:p w14:paraId="399753DF" w14:textId="77777777"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Hull, J. C. (2018). </w:t>
      </w:r>
      <w:r w:rsidRPr="00A40F45">
        <w:rPr>
          <w:rFonts w:ascii="Times New Roman" w:eastAsia="Times New Roman" w:hAnsi="Times New Roman" w:cs="Times New Roman"/>
          <w:i/>
          <w:iCs/>
          <w:color w:val="000000" w:themeColor="text1"/>
          <w:lang w:val="en-HU" w:eastAsia="en-GB"/>
        </w:rPr>
        <w:t>Options, futures, and other derivatives</w:t>
      </w:r>
      <w:r w:rsidRPr="00A40F45">
        <w:rPr>
          <w:rFonts w:ascii="Times New Roman" w:eastAsia="Times New Roman" w:hAnsi="Times New Roman" w:cs="Times New Roman"/>
          <w:color w:val="000000" w:themeColor="text1"/>
          <w:lang w:val="en-HU" w:eastAsia="en-GB"/>
        </w:rPr>
        <w:t> (10th ed.). Pearson Education Limited.</w:t>
      </w:r>
    </w:p>
    <w:p w14:paraId="7D7954B2" w14:textId="6AAF4B29"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 xml:space="preserve">Hung, N. T. (2024). Relationship of global geopolitical risk and exchange rates: Evidence from Covid-19 </w:t>
      </w:r>
      <w:r>
        <w:rPr>
          <w:rFonts w:ascii="Times New Roman" w:eastAsia="Times New Roman" w:hAnsi="Times New Roman" w:cs="Times New Roman"/>
          <w:color w:val="000000" w:themeColor="text1"/>
          <w:lang w:val="en-HU" w:eastAsia="en-GB"/>
        </w:rPr>
        <w:tab/>
      </w:r>
      <w:r w:rsidRPr="00A40F45">
        <w:rPr>
          <w:rFonts w:ascii="Times New Roman" w:eastAsia="Times New Roman" w:hAnsi="Times New Roman" w:cs="Times New Roman"/>
          <w:color w:val="000000" w:themeColor="text1"/>
          <w:lang w:val="en-HU" w:eastAsia="en-GB"/>
        </w:rPr>
        <w:t>and Russia–Ukraine crisis. </w:t>
      </w:r>
      <w:r w:rsidRPr="00A40F45">
        <w:rPr>
          <w:rFonts w:ascii="Times New Roman" w:eastAsia="Times New Roman" w:hAnsi="Times New Roman" w:cs="Times New Roman"/>
          <w:i/>
          <w:iCs/>
          <w:color w:val="000000" w:themeColor="text1"/>
          <w:lang w:val="en-HU" w:eastAsia="en-GB"/>
        </w:rPr>
        <w:t>Regional Statistics, 14</w:t>
      </w:r>
      <w:r w:rsidRPr="00A40F45">
        <w:rPr>
          <w:rFonts w:ascii="Times New Roman" w:eastAsia="Times New Roman" w:hAnsi="Times New Roman" w:cs="Times New Roman"/>
          <w:color w:val="000000" w:themeColor="text1"/>
          <w:lang w:val="en-HU" w:eastAsia="en-GB"/>
        </w:rPr>
        <w:t>(1). </w:t>
      </w:r>
      <w:hyperlink r:id="rId26" w:history="1">
        <w:r w:rsidRPr="00A40F45">
          <w:rPr>
            <w:rStyle w:val="Hyperlink"/>
            <w:rFonts w:eastAsia="Times New Roman"/>
            <w:lang w:val="en-HU" w:eastAsia="en-GB"/>
          </w:rPr>
          <w:t>https://doi.org/10.15196/RS140102</w:t>
        </w:r>
      </w:hyperlink>
    </w:p>
    <w:p w14:paraId="32B323D4" w14:textId="6A3953A0"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 xml:space="preserve">Hyatt, K., Ryle, P. M., &amp; McKnight, M. A. (2024). Semiconductor production, geopolitics and the CHIPS </w:t>
      </w:r>
      <w:r>
        <w:rPr>
          <w:rFonts w:ascii="Times New Roman" w:eastAsia="Times New Roman" w:hAnsi="Times New Roman" w:cs="Times New Roman"/>
          <w:color w:val="000000" w:themeColor="text1"/>
          <w:lang w:val="en-HU" w:eastAsia="en-GB"/>
        </w:rPr>
        <w:tab/>
      </w:r>
      <w:r w:rsidRPr="00A40F45">
        <w:rPr>
          <w:rFonts w:ascii="Times New Roman" w:eastAsia="Times New Roman" w:hAnsi="Times New Roman" w:cs="Times New Roman"/>
          <w:color w:val="000000" w:themeColor="text1"/>
          <w:lang w:val="en-HU" w:eastAsia="en-GB"/>
        </w:rPr>
        <w:t>Act of 2022: A theoretical analysis. </w:t>
      </w:r>
      <w:r w:rsidRPr="00A40F45">
        <w:rPr>
          <w:rFonts w:ascii="Times New Roman" w:eastAsia="Times New Roman" w:hAnsi="Times New Roman" w:cs="Times New Roman"/>
          <w:i/>
          <w:iCs/>
          <w:color w:val="000000" w:themeColor="text1"/>
          <w:lang w:val="en-HU" w:eastAsia="en-GB"/>
        </w:rPr>
        <w:t>Digital Policy, Regulation and Governance, 27</w:t>
      </w:r>
      <w:r w:rsidRPr="00A40F45">
        <w:rPr>
          <w:rFonts w:ascii="Times New Roman" w:eastAsia="Times New Roman" w:hAnsi="Times New Roman" w:cs="Times New Roman"/>
          <w:color w:val="000000" w:themeColor="text1"/>
          <w:lang w:val="en-HU" w:eastAsia="en-GB"/>
        </w:rPr>
        <w:t>(1), 1–</w:t>
      </w:r>
      <w:r>
        <w:rPr>
          <w:rFonts w:ascii="Times New Roman" w:eastAsia="Times New Roman" w:hAnsi="Times New Roman" w:cs="Times New Roman"/>
          <w:color w:val="000000" w:themeColor="text1"/>
          <w:lang w:val="en-HU" w:eastAsia="en-GB"/>
        </w:rPr>
        <w:tab/>
      </w:r>
      <w:r w:rsidRPr="00A40F45">
        <w:rPr>
          <w:rFonts w:ascii="Times New Roman" w:eastAsia="Times New Roman" w:hAnsi="Times New Roman" w:cs="Times New Roman"/>
          <w:color w:val="000000" w:themeColor="text1"/>
          <w:lang w:val="en-HU" w:eastAsia="en-GB"/>
        </w:rPr>
        <w:t>16. </w:t>
      </w:r>
      <w:hyperlink r:id="rId27" w:history="1">
        <w:r w:rsidRPr="00A40F45">
          <w:rPr>
            <w:rStyle w:val="Hyperlink"/>
            <w:rFonts w:eastAsia="Times New Roman"/>
            <w:lang w:val="en-HU" w:eastAsia="en-GB"/>
          </w:rPr>
          <w:t>https://doi.org/10.1108/DPRG-12-2023-0184</w:t>
        </w:r>
      </w:hyperlink>
    </w:p>
    <w:p w14:paraId="1D725CE6" w14:textId="75E66160"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Investing.com. (n.d.). </w:t>
      </w:r>
      <w:r w:rsidRPr="00A40F45">
        <w:rPr>
          <w:rFonts w:ascii="Times New Roman" w:eastAsia="Times New Roman" w:hAnsi="Times New Roman" w:cs="Times New Roman"/>
          <w:i/>
          <w:iCs/>
          <w:color w:val="000000" w:themeColor="text1"/>
          <w:lang w:val="en-HU" w:eastAsia="en-GB"/>
        </w:rPr>
        <w:t>USD/TWD historical data</w:t>
      </w:r>
      <w:r w:rsidRPr="00A40F45">
        <w:rPr>
          <w:rFonts w:ascii="Times New Roman" w:eastAsia="Times New Roman" w:hAnsi="Times New Roman" w:cs="Times New Roman"/>
          <w:color w:val="000000" w:themeColor="text1"/>
          <w:lang w:val="en-HU" w:eastAsia="en-GB"/>
        </w:rPr>
        <w:t>. </w:t>
      </w:r>
      <w:hyperlink r:id="rId28" w:history="1">
        <w:r w:rsidRPr="004B0184">
          <w:rPr>
            <w:rStyle w:val="Hyperlink"/>
            <w:rFonts w:eastAsia="Times New Roman"/>
            <w:lang w:val="en-HU" w:eastAsia="en-GB"/>
          </w:rPr>
          <w:t>https://www.investing.com/currencies/usd-twd-historical-</w:t>
        </w:r>
        <w:r w:rsidRPr="004B0184">
          <w:rPr>
            <w:rStyle w:val="Hyperlink"/>
            <w:rFonts w:eastAsia="Times New Roman"/>
            <w:lang w:val="en-HU" w:eastAsia="en-GB"/>
          </w:rPr>
          <w:tab/>
        </w:r>
        <w:r w:rsidRPr="004B0184">
          <w:rPr>
            <w:rStyle w:val="Hyperlink"/>
            <w:rFonts w:eastAsia="Times New Roman"/>
            <w:lang w:val="en-HU" w:eastAsia="en-GB"/>
          </w:rPr>
          <w:t>d</w:t>
        </w:r>
        <w:r w:rsidRPr="004B0184">
          <w:rPr>
            <w:rStyle w:val="Hyperlink"/>
            <w:rFonts w:eastAsia="Times New Roman"/>
            <w:lang w:val="en-HU" w:eastAsia="en-GB"/>
          </w:rPr>
          <w:t>ata</w:t>
        </w:r>
      </w:hyperlink>
    </w:p>
    <w:p w14:paraId="4762B813" w14:textId="1B4FF231"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 xml:space="preserve">Ivanov, D., &amp; Dolgui, A. (2020). A digital supply chain twin for managing disruption risks and resilience in </w:t>
      </w:r>
      <w:r>
        <w:rPr>
          <w:rFonts w:ascii="Times New Roman" w:eastAsia="Times New Roman" w:hAnsi="Times New Roman" w:cs="Times New Roman"/>
          <w:color w:val="000000" w:themeColor="text1"/>
          <w:lang w:val="en-HU" w:eastAsia="en-GB"/>
        </w:rPr>
        <w:tab/>
      </w:r>
      <w:r w:rsidRPr="00A40F45">
        <w:rPr>
          <w:rFonts w:ascii="Times New Roman" w:eastAsia="Times New Roman" w:hAnsi="Times New Roman" w:cs="Times New Roman"/>
          <w:color w:val="000000" w:themeColor="text1"/>
          <w:lang w:val="en-HU" w:eastAsia="en-GB"/>
        </w:rPr>
        <w:t>the era of Industry 4.0. </w:t>
      </w:r>
      <w:r w:rsidRPr="00A40F45">
        <w:rPr>
          <w:rFonts w:ascii="Times New Roman" w:eastAsia="Times New Roman" w:hAnsi="Times New Roman" w:cs="Times New Roman"/>
          <w:i/>
          <w:iCs/>
          <w:color w:val="000000" w:themeColor="text1"/>
          <w:lang w:val="en-HU" w:eastAsia="en-GB"/>
        </w:rPr>
        <w:t>International Journal of Production Research, 58</w:t>
      </w:r>
      <w:r w:rsidRPr="00A40F45">
        <w:rPr>
          <w:rFonts w:ascii="Times New Roman" w:eastAsia="Times New Roman" w:hAnsi="Times New Roman" w:cs="Times New Roman"/>
          <w:color w:val="000000" w:themeColor="text1"/>
          <w:lang w:val="en-HU" w:eastAsia="en-GB"/>
        </w:rPr>
        <w:t>(12), 3590–</w:t>
      </w:r>
      <w:r>
        <w:rPr>
          <w:rFonts w:ascii="Times New Roman" w:eastAsia="Times New Roman" w:hAnsi="Times New Roman" w:cs="Times New Roman"/>
          <w:color w:val="000000" w:themeColor="text1"/>
          <w:lang w:val="en-HU" w:eastAsia="en-GB"/>
        </w:rPr>
        <w:tab/>
      </w:r>
      <w:r w:rsidRPr="00A40F45">
        <w:rPr>
          <w:rFonts w:ascii="Times New Roman" w:eastAsia="Times New Roman" w:hAnsi="Times New Roman" w:cs="Times New Roman"/>
          <w:color w:val="000000" w:themeColor="text1"/>
          <w:lang w:val="en-HU" w:eastAsia="en-GB"/>
        </w:rPr>
        <w:t>3609. </w:t>
      </w:r>
      <w:hyperlink r:id="rId29" w:history="1">
        <w:r w:rsidRPr="00A40F45">
          <w:rPr>
            <w:rStyle w:val="Hyperlink"/>
            <w:rFonts w:eastAsia="Times New Roman"/>
            <w:lang w:val="en-HU" w:eastAsia="en-GB"/>
          </w:rPr>
          <w:t>https://doi.org/10.1080/00207543.2020.1790580</w:t>
        </w:r>
      </w:hyperlink>
    </w:p>
    <w:p w14:paraId="313C868C" w14:textId="6FC3FE39"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 xml:space="preserve">Liu, R. C., Tang, H., Kao, Y., &amp; Chou, Y. (2025). From vulnerabilities to resilience: Taiwan’s </w:t>
      </w:r>
      <w:r>
        <w:rPr>
          <w:rFonts w:ascii="Times New Roman" w:eastAsia="Times New Roman" w:hAnsi="Times New Roman" w:cs="Times New Roman"/>
          <w:color w:val="000000" w:themeColor="text1"/>
          <w:lang w:val="en-HU" w:eastAsia="en-GB"/>
        </w:rPr>
        <w:tab/>
      </w:r>
      <w:r w:rsidRPr="00A40F45">
        <w:rPr>
          <w:rFonts w:ascii="Times New Roman" w:eastAsia="Times New Roman" w:hAnsi="Times New Roman" w:cs="Times New Roman"/>
          <w:color w:val="000000" w:themeColor="text1"/>
          <w:lang w:val="en-HU" w:eastAsia="en-GB"/>
        </w:rPr>
        <w:t>semiconductor industry and geopolitical challenges. </w:t>
      </w:r>
      <w:r w:rsidRPr="00A40F45">
        <w:rPr>
          <w:rFonts w:ascii="Times New Roman" w:eastAsia="Times New Roman" w:hAnsi="Times New Roman" w:cs="Times New Roman"/>
          <w:i/>
          <w:iCs/>
          <w:color w:val="000000" w:themeColor="text1"/>
          <w:lang w:val="en-HU" w:eastAsia="en-GB"/>
        </w:rPr>
        <w:t xml:space="preserve">Telecommunications Policy,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49</w:t>
      </w:r>
      <w:r w:rsidRPr="00A40F45">
        <w:rPr>
          <w:rFonts w:ascii="Times New Roman" w:eastAsia="Times New Roman" w:hAnsi="Times New Roman" w:cs="Times New Roman"/>
          <w:color w:val="000000" w:themeColor="text1"/>
          <w:lang w:val="en-HU" w:eastAsia="en-GB"/>
        </w:rPr>
        <w:t>(4). </w:t>
      </w:r>
      <w:hyperlink r:id="rId30" w:history="1">
        <w:r w:rsidRPr="00A40F45">
          <w:rPr>
            <w:rStyle w:val="Hyperlink"/>
            <w:rFonts w:eastAsia="Times New Roman"/>
            <w:lang w:val="en-HU" w:eastAsia="en-GB"/>
          </w:rPr>
          <w:t>https://doi.org/10.1016/j.telpol.2025.102951</w:t>
        </w:r>
      </w:hyperlink>
    </w:p>
    <w:p w14:paraId="7A0273EF" w14:textId="4CFCBB2E"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Nance, D. R., Smith, C. W., Jr., &amp; Smithson, C. W. (1993). On the determinants of corporate hedging. </w:t>
      </w:r>
      <w:r w:rsidRPr="00A40F45">
        <w:rPr>
          <w:rFonts w:ascii="Times New Roman" w:eastAsia="Times New Roman" w:hAnsi="Times New Roman" w:cs="Times New Roman"/>
          <w:i/>
          <w:iCs/>
          <w:color w:val="000000" w:themeColor="text1"/>
          <w:lang w:val="en-HU" w:eastAsia="en-GB"/>
        </w:rPr>
        <w:t xml:space="preserve">The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Journal of Finance, 48</w:t>
      </w:r>
      <w:r w:rsidRPr="00A40F45">
        <w:rPr>
          <w:rFonts w:ascii="Times New Roman" w:eastAsia="Times New Roman" w:hAnsi="Times New Roman" w:cs="Times New Roman"/>
          <w:color w:val="000000" w:themeColor="text1"/>
          <w:lang w:val="en-HU" w:eastAsia="en-GB"/>
        </w:rPr>
        <w:t>(1), 267–284. </w:t>
      </w:r>
      <w:hyperlink r:id="rId31" w:history="1">
        <w:r w:rsidRPr="00A40F45">
          <w:rPr>
            <w:rStyle w:val="Hyperlink"/>
            <w:rFonts w:eastAsia="Times New Roman"/>
            <w:lang w:val="en-HU" w:eastAsia="en-GB"/>
          </w:rPr>
          <w:t>https://doi.org/10.1111/j.1540-6261.1993.tb04709.x</w:t>
        </w:r>
      </w:hyperlink>
    </w:p>
    <w:p w14:paraId="4B26982D" w14:textId="77777777"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Reuters. (2025). </w:t>
      </w:r>
      <w:r w:rsidRPr="00A40F45">
        <w:rPr>
          <w:rFonts w:ascii="Times New Roman" w:eastAsia="Times New Roman" w:hAnsi="Times New Roman" w:cs="Times New Roman"/>
          <w:i/>
          <w:iCs/>
          <w:color w:val="000000" w:themeColor="text1"/>
          <w:lang w:val="en-HU" w:eastAsia="en-GB"/>
        </w:rPr>
        <w:t>Xi says no one can stop China’s reunification with Taiwan</w:t>
      </w:r>
      <w:r w:rsidRPr="00A40F45">
        <w:rPr>
          <w:rFonts w:ascii="Times New Roman" w:eastAsia="Times New Roman" w:hAnsi="Times New Roman" w:cs="Times New Roman"/>
          <w:color w:val="000000" w:themeColor="text1"/>
          <w:lang w:val="en-HU" w:eastAsia="en-GB"/>
        </w:rPr>
        <w:t>. </w:t>
      </w:r>
      <w:hyperlink r:id="rId32" w:history="1">
        <w:r w:rsidRPr="00A40F45">
          <w:rPr>
            <w:rStyle w:val="Hyperlink"/>
            <w:rFonts w:eastAsia="Times New Roman"/>
            <w:lang w:val="en-HU" w:eastAsia="en-GB"/>
          </w:rPr>
          <w:t>https://www.reuters.com</w:t>
        </w:r>
      </w:hyperlink>
    </w:p>
    <w:p w14:paraId="22A8D608" w14:textId="16A5B1E6"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Smith, C. W., &amp; Stulz, R. M. (1985). The determinants of firms’ hedging policies. </w:t>
      </w:r>
      <w:r w:rsidRPr="00A40F45">
        <w:rPr>
          <w:rFonts w:ascii="Times New Roman" w:eastAsia="Times New Roman" w:hAnsi="Times New Roman" w:cs="Times New Roman"/>
          <w:i/>
          <w:iCs/>
          <w:color w:val="000000" w:themeColor="text1"/>
          <w:lang w:val="en-HU" w:eastAsia="en-GB"/>
        </w:rPr>
        <w:t xml:space="preserve">Journal of Financial and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Quantitative Analysis, 20</w:t>
      </w:r>
      <w:r w:rsidRPr="00A40F45">
        <w:rPr>
          <w:rFonts w:ascii="Times New Roman" w:eastAsia="Times New Roman" w:hAnsi="Times New Roman" w:cs="Times New Roman"/>
          <w:color w:val="000000" w:themeColor="text1"/>
          <w:lang w:val="en-HU" w:eastAsia="en-GB"/>
        </w:rPr>
        <w:t>(4), 391–405. </w:t>
      </w:r>
      <w:hyperlink r:id="rId33" w:history="1">
        <w:r w:rsidRPr="00A40F45">
          <w:rPr>
            <w:rStyle w:val="Hyperlink"/>
            <w:rFonts w:eastAsia="Times New Roman"/>
            <w:lang w:val="en-HU" w:eastAsia="en-GB"/>
          </w:rPr>
          <w:t>https://doi.org/10.2307/2330757</w:t>
        </w:r>
      </w:hyperlink>
    </w:p>
    <w:p w14:paraId="4227C906" w14:textId="2831E73E"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 xml:space="preserve">Tang, C. S., &amp; Musa, S. N. (2011). Identifying risk issues and research advancements in supply chain risk </w:t>
      </w:r>
      <w:r>
        <w:rPr>
          <w:rFonts w:ascii="Times New Roman" w:eastAsia="Times New Roman" w:hAnsi="Times New Roman" w:cs="Times New Roman"/>
          <w:color w:val="000000" w:themeColor="text1"/>
          <w:lang w:val="en-HU" w:eastAsia="en-GB"/>
        </w:rPr>
        <w:tab/>
      </w:r>
      <w:r w:rsidRPr="00A40F45">
        <w:rPr>
          <w:rFonts w:ascii="Times New Roman" w:eastAsia="Times New Roman" w:hAnsi="Times New Roman" w:cs="Times New Roman"/>
          <w:color w:val="000000" w:themeColor="text1"/>
          <w:lang w:val="en-HU" w:eastAsia="en-GB"/>
        </w:rPr>
        <w:t>management. </w:t>
      </w:r>
      <w:r w:rsidRPr="00A40F45">
        <w:rPr>
          <w:rFonts w:ascii="Times New Roman" w:eastAsia="Times New Roman" w:hAnsi="Times New Roman" w:cs="Times New Roman"/>
          <w:i/>
          <w:iCs/>
          <w:color w:val="000000" w:themeColor="text1"/>
          <w:lang w:val="en-HU" w:eastAsia="en-GB"/>
        </w:rPr>
        <w:t>International Journal of Production Economics, 133</w:t>
      </w:r>
      <w:r w:rsidRPr="00A40F45">
        <w:rPr>
          <w:rFonts w:ascii="Times New Roman" w:eastAsia="Times New Roman" w:hAnsi="Times New Roman" w:cs="Times New Roman"/>
          <w:color w:val="000000" w:themeColor="text1"/>
          <w:lang w:val="en-HU" w:eastAsia="en-GB"/>
        </w:rPr>
        <w:t>(1), 25–</w:t>
      </w:r>
      <w:r>
        <w:rPr>
          <w:rFonts w:ascii="Times New Roman" w:eastAsia="Times New Roman" w:hAnsi="Times New Roman" w:cs="Times New Roman"/>
          <w:color w:val="000000" w:themeColor="text1"/>
          <w:lang w:val="en-HU" w:eastAsia="en-GB"/>
        </w:rPr>
        <w:tab/>
      </w:r>
      <w:r w:rsidRPr="00A40F45">
        <w:rPr>
          <w:rFonts w:ascii="Times New Roman" w:eastAsia="Times New Roman" w:hAnsi="Times New Roman" w:cs="Times New Roman"/>
          <w:color w:val="000000" w:themeColor="text1"/>
          <w:lang w:val="en-HU" w:eastAsia="en-GB"/>
        </w:rPr>
        <w:t>34. </w:t>
      </w:r>
      <w:hyperlink r:id="rId34" w:history="1">
        <w:r w:rsidRPr="00A40F45">
          <w:rPr>
            <w:rStyle w:val="Hyperlink"/>
            <w:rFonts w:eastAsia="Times New Roman"/>
            <w:lang w:val="en-HU" w:eastAsia="en-GB"/>
          </w:rPr>
          <w:t>https://doi.org/10.1016/j.ijpe.2010.04.003</w:t>
        </w:r>
      </w:hyperlink>
    </w:p>
    <w:p w14:paraId="0B57B609" w14:textId="31338071"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lastRenderedPageBreak/>
        <w:t>TSMC. (2022). </w:t>
      </w:r>
      <w:r w:rsidRPr="00A40F45">
        <w:rPr>
          <w:rFonts w:ascii="Times New Roman" w:eastAsia="Times New Roman" w:hAnsi="Times New Roman" w:cs="Times New Roman"/>
          <w:i/>
          <w:iCs/>
          <w:color w:val="000000" w:themeColor="text1"/>
          <w:lang w:val="en-HU" w:eastAsia="en-GB"/>
        </w:rPr>
        <w:t xml:space="preserve">TSMC 2021 Q4 consolidated financial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statements</w:t>
      </w:r>
      <w:r w:rsidRPr="00A40F45">
        <w:rPr>
          <w:rFonts w:ascii="Times New Roman" w:eastAsia="Times New Roman" w:hAnsi="Times New Roman" w:cs="Times New Roman"/>
          <w:color w:val="000000" w:themeColor="text1"/>
          <w:lang w:val="en-HU" w:eastAsia="en-GB"/>
        </w:rPr>
        <w:t>. </w:t>
      </w:r>
      <w:hyperlink r:id="rId35" w:history="1">
        <w:r w:rsidRPr="004B0184">
          <w:rPr>
            <w:rStyle w:val="Hyperlink"/>
            <w:rFonts w:eastAsia="Times New Roman"/>
            <w:lang w:val="en-HU" w:eastAsia="en-GB"/>
          </w:rPr>
          <w:t>https://investor.tsmc.com/sites/ir/financial-</w:t>
        </w:r>
        <w:r w:rsidRPr="004B0184">
          <w:rPr>
            <w:rStyle w:val="Hyperlink"/>
            <w:rFonts w:eastAsia="Times New Roman"/>
            <w:lang w:val="en-HU" w:eastAsia="en-GB"/>
          </w:rPr>
          <w:tab/>
        </w:r>
        <w:r w:rsidRPr="004B0184">
          <w:rPr>
            <w:rStyle w:val="Hyperlink"/>
            <w:rFonts w:eastAsia="Times New Roman"/>
            <w:lang w:val="en-HU" w:eastAsia="en-GB"/>
          </w:rPr>
          <w:t>r</w:t>
        </w:r>
        <w:r w:rsidRPr="004B0184">
          <w:rPr>
            <w:rStyle w:val="Hyperlink"/>
            <w:rFonts w:eastAsia="Times New Roman"/>
            <w:lang w:val="en-HU" w:eastAsia="en-GB"/>
          </w:rPr>
          <w:t>eport/2021/TSMC%202021Q4%20Consolidated%20Financial%20Statements_E.pdf</w:t>
        </w:r>
      </w:hyperlink>
    </w:p>
    <w:p w14:paraId="3EEF3C5B" w14:textId="77777777"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TSMC. (2023). </w:t>
      </w:r>
      <w:r w:rsidRPr="00A40F45">
        <w:rPr>
          <w:rFonts w:ascii="Times New Roman" w:eastAsia="Times New Roman" w:hAnsi="Times New Roman" w:cs="Times New Roman"/>
          <w:i/>
          <w:iCs/>
          <w:color w:val="000000" w:themeColor="text1"/>
          <w:lang w:val="en-HU" w:eastAsia="en-GB"/>
        </w:rPr>
        <w:t>TSMC 2022 sustainability report</w:t>
      </w:r>
      <w:r w:rsidRPr="00A40F45">
        <w:rPr>
          <w:rFonts w:ascii="Times New Roman" w:eastAsia="Times New Roman" w:hAnsi="Times New Roman" w:cs="Times New Roman"/>
          <w:color w:val="000000" w:themeColor="text1"/>
          <w:lang w:val="en-HU" w:eastAsia="en-GB"/>
        </w:rPr>
        <w:t>. </w:t>
      </w:r>
      <w:hyperlink r:id="rId36" w:history="1">
        <w:r w:rsidRPr="00A40F45">
          <w:rPr>
            <w:rStyle w:val="Hyperlink"/>
            <w:rFonts w:eastAsia="Times New Roman"/>
            <w:lang w:val="en-HU" w:eastAsia="en-GB"/>
          </w:rPr>
          <w:t>https://esg.tsmc.com</w:t>
        </w:r>
      </w:hyperlink>
    </w:p>
    <w:p w14:paraId="7AEB34AA" w14:textId="70975199"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TSMC. (2024). </w:t>
      </w:r>
      <w:r w:rsidRPr="00A40F45">
        <w:rPr>
          <w:rFonts w:ascii="Times New Roman" w:eastAsia="Times New Roman" w:hAnsi="Times New Roman" w:cs="Times New Roman"/>
          <w:i/>
          <w:iCs/>
          <w:color w:val="000000" w:themeColor="text1"/>
          <w:lang w:val="en-HU" w:eastAsia="en-GB"/>
        </w:rPr>
        <w:t xml:space="preserve">TSMC 2023 Q4 consolidated financial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statements</w:t>
      </w:r>
      <w:r w:rsidRPr="00A40F45">
        <w:rPr>
          <w:rFonts w:ascii="Times New Roman" w:eastAsia="Times New Roman" w:hAnsi="Times New Roman" w:cs="Times New Roman"/>
          <w:color w:val="000000" w:themeColor="text1"/>
          <w:lang w:val="en-HU" w:eastAsia="en-GB"/>
        </w:rPr>
        <w:t>. </w:t>
      </w:r>
      <w:hyperlink r:id="rId37" w:history="1">
        <w:r w:rsidRPr="004B0184">
          <w:rPr>
            <w:rStyle w:val="Hyperlink"/>
            <w:rFonts w:eastAsia="Times New Roman"/>
            <w:lang w:val="en-HU" w:eastAsia="en-GB"/>
          </w:rPr>
          <w:t>https://investor.tsmc.com/sites/ir/financial-</w:t>
        </w:r>
        <w:r w:rsidRPr="004B0184">
          <w:rPr>
            <w:rStyle w:val="Hyperlink"/>
            <w:rFonts w:eastAsia="Times New Roman"/>
            <w:lang w:val="en-HU" w:eastAsia="en-GB"/>
          </w:rPr>
          <w:tab/>
        </w:r>
        <w:r w:rsidRPr="004B0184">
          <w:rPr>
            <w:rStyle w:val="Hyperlink"/>
            <w:rFonts w:eastAsia="Times New Roman"/>
            <w:lang w:val="en-HU" w:eastAsia="en-GB"/>
          </w:rPr>
          <w:t>r</w:t>
        </w:r>
        <w:r w:rsidRPr="004B0184">
          <w:rPr>
            <w:rStyle w:val="Hyperlink"/>
            <w:rFonts w:eastAsia="Times New Roman"/>
            <w:lang w:val="en-HU" w:eastAsia="en-GB"/>
          </w:rPr>
          <w:t>eport/2023/TSMC%202023Q4%20Consolidated%20Financial%20Statements_E.pdf</w:t>
        </w:r>
      </w:hyperlink>
    </w:p>
    <w:p w14:paraId="2C505425" w14:textId="1CD4159F"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TSMC. (2025). </w:t>
      </w:r>
      <w:r w:rsidRPr="00A40F45">
        <w:rPr>
          <w:rFonts w:ascii="Times New Roman" w:eastAsia="Times New Roman" w:hAnsi="Times New Roman" w:cs="Times New Roman"/>
          <w:i/>
          <w:iCs/>
          <w:color w:val="000000" w:themeColor="text1"/>
          <w:lang w:val="en-HU" w:eastAsia="en-GB"/>
        </w:rPr>
        <w:t xml:space="preserve">TSMC 2024 annual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report</w:t>
      </w:r>
      <w:r w:rsidRPr="00A40F45">
        <w:rPr>
          <w:rFonts w:ascii="Times New Roman" w:eastAsia="Times New Roman" w:hAnsi="Times New Roman" w:cs="Times New Roman"/>
          <w:color w:val="000000" w:themeColor="text1"/>
          <w:lang w:val="en-HU" w:eastAsia="en-GB"/>
        </w:rPr>
        <w:t>. </w:t>
      </w:r>
      <w:hyperlink r:id="rId38" w:history="1">
        <w:r w:rsidRPr="00A40F45">
          <w:rPr>
            <w:rStyle w:val="Hyperlink"/>
            <w:rFonts w:eastAsia="Times New Roman"/>
            <w:lang w:val="en-HU" w:eastAsia="en-GB"/>
          </w:rPr>
          <w:t>https://investor.tsmc.com/static/annualReports/2024/english/ebook/index.html</w:t>
        </w:r>
      </w:hyperlink>
    </w:p>
    <w:p w14:paraId="20B8E8FC" w14:textId="5AA3B6B4"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TSMC. (2025). </w:t>
      </w:r>
      <w:r w:rsidRPr="00A40F45">
        <w:rPr>
          <w:rFonts w:ascii="Times New Roman" w:eastAsia="Times New Roman" w:hAnsi="Times New Roman" w:cs="Times New Roman"/>
          <w:i/>
          <w:iCs/>
          <w:color w:val="000000" w:themeColor="text1"/>
          <w:lang w:val="en-HU" w:eastAsia="en-GB"/>
        </w:rPr>
        <w:t>2024 TSMC climate and nature report</w:t>
      </w:r>
      <w:r w:rsidRPr="00A40F45">
        <w:rPr>
          <w:rFonts w:ascii="Times New Roman" w:eastAsia="Times New Roman" w:hAnsi="Times New Roman" w:cs="Times New Roman"/>
          <w:color w:val="000000" w:themeColor="text1"/>
          <w:lang w:val="en-HU" w:eastAsia="en-GB"/>
        </w:rPr>
        <w:t>. </w:t>
      </w:r>
      <w:hyperlink r:id="rId39" w:history="1">
        <w:r w:rsidRPr="004B0184">
          <w:rPr>
            <w:rStyle w:val="Hyperlink"/>
            <w:rFonts w:eastAsia="Times New Roman"/>
            <w:lang w:val="en-HU" w:eastAsia="en-GB"/>
          </w:rPr>
          <w:t>https://esg.tsmc.com/file/public/2024-TSMC-</w:t>
        </w:r>
        <w:r w:rsidRPr="004B0184">
          <w:rPr>
            <w:rStyle w:val="Hyperlink"/>
            <w:rFonts w:eastAsia="Times New Roman"/>
            <w:lang w:val="en-HU" w:eastAsia="en-GB"/>
          </w:rPr>
          <w:tab/>
        </w:r>
        <w:r w:rsidRPr="004B0184">
          <w:rPr>
            <w:rStyle w:val="Hyperlink"/>
            <w:rFonts w:eastAsia="Times New Roman"/>
            <w:lang w:val="en-HU" w:eastAsia="en-GB"/>
          </w:rPr>
          <w:t>Climate-and-Nature-Report-e.pdf</w:t>
        </w:r>
      </w:hyperlink>
    </w:p>
    <w:p w14:paraId="70CEC158" w14:textId="191CBDF9"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TSMC. (2026). </w:t>
      </w:r>
      <w:r w:rsidRPr="00A40F45">
        <w:rPr>
          <w:rFonts w:ascii="Times New Roman" w:eastAsia="Times New Roman" w:hAnsi="Times New Roman" w:cs="Times New Roman"/>
          <w:i/>
          <w:iCs/>
          <w:color w:val="000000" w:themeColor="text1"/>
          <w:lang w:val="en-HU" w:eastAsia="en-GB"/>
        </w:rPr>
        <w:t xml:space="preserve">Taiwan Semiconductor Manufacturing Company Limited and subsidiaries consolidated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financial statements for the years ended December 31, 2025 and 2024</w:t>
      </w:r>
      <w:r w:rsidRPr="00A40F45">
        <w:rPr>
          <w:rFonts w:ascii="Times New Roman" w:eastAsia="Times New Roman" w:hAnsi="Times New Roman" w:cs="Times New Roman"/>
          <w:color w:val="000000" w:themeColor="text1"/>
          <w:lang w:val="en-HU" w:eastAsia="en-GB"/>
        </w:rPr>
        <w:t>. </w:t>
      </w:r>
      <w:hyperlink r:id="rId40" w:history="1">
        <w:r w:rsidRPr="00A40F45">
          <w:rPr>
            <w:rStyle w:val="Hyperlink"/>
            <w:rFonts w:eastAsia="Times New Roman"/>
            <w:lang w:val="en-HU" w:eastAsia="en-GB"/>
          </w:rPr>
          <w:t>https://investor.tsmc.com</w:t>
        </w:r>
      </w:hyperlink>
    </w:p>
    <w:p w14:paraId="46DC36D8" w14:textId="00CEE546"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TSMC. (2026). </w:t>
      </w:r>
      <w:r w:rsidRPr="00A40F45">
        <w:rPr>
          <w:rFonts w:ascii="Times New Roman" w:eastAsia="Times New Roman" w:hAnsi="Times New Roman" w:cs="Times New Roman"/>
          <w:i/>
          <w:iCs/>
          <w:color w:val="000000" w:themeColor="text1"/>
          <w:lang w:val="en-HU" w:eastAsia="en-GB"/>
        </w:rPr>
        <w:t xml:space="preserve">TSMC 2025 Q4 consolidated financial </w:t>
      </w:r>
      <w:r>
        <w:rPr>
          <w:rFonts w:ascii="Times New Roman" w:eastAsia="Times New Roman" w:hAnsi="Times New Roman" w:cs="Times New Roman"/>
          <w:i/>
          <w:iCs/>
          <w:color w:val="000000" w:themeColor="text1"/>
          <w:lang w:val="en-HU" w:eastAsia="en-GB"/>
        </w:rPr>
        <w:tab/>
      </w:r>
      <w:r w:rsidRPr="00A40F45">
        <w:rPr>
          <w:rFonts w:ascii="Times New Roman" w:eastAsia="Times New Roman" w:hAnsi="Times New Roman" w:cs="Times New Roman"/>
          <w:i/>
          <w:iCs/>
          <w:color w:val="000000" w:themeColor="text1"/>
          <w:lang w:val="en-HU" w:eastAsia="en-GB"/>
        </w:rPr>
        <w:t>statements</w:t>
      </w:r>
      <w:r w:rsidRPr="00A40F45">
        <w:rPr>
          <w:rFonts w:ascii="Times New Roman" w:eastAsia="Times New Roman" w:hAnsi="Times New Roman" w:cs="Times New Roman"/>
          <w:color w:val="000000" w:themeColor="text1"/>
          <w:lang w:val="en-HU" w:eastAsia="en-GB"/>
        </w:rPr>
        <w:t>. </w:t>
      </w:r>
      <w:hyperlink r:id="rId41" w:history="1">
        <w:r w:rsidRPr="004B0184">
          <w:rPr>
            <w:rStyle w:val="Hyperlink"/>
            <w:rFonts w:eastAsia="Times New Roman"/>
            <w:lang w:val="en-HU" w:eastAsia="en-GB"/>
          </w:rPr>
          <w:t>https://investor.tsmc.com/sites/ir/financial-</w:t>
        </w:r>
        <w:r w:rsidRPr="004B0184">
          <w:rPr>
            <w:rStyle w:val="Hyperlink"/>
            <w:rFonts w:eastAsia="Times New Roman"/>
            <w:lang w:val="en-HU" w:eastAsia="en-GB"/>
          </w:rPr>
          <w:tab/>
        </w:r>
        <w:r w:rsidRPr="004B0184">
          <w:rPr>
            <w:rStyle w:val="Hyperlink"/>
            <w:rFonts w:eastAsia="Times New Roman"/>
            <w:lang w:val="en-HU" w:eastAsia="en-GB"/>
          </w:rPr>
          <w:t>report/2025/TSMC%202025Q4%20Consolidated%20Financial%20Statements_E.pdf</w:t>
        </w:r>
      </w:hyperlink>
    </w:p>
    <w:p w14:paraId="0930C946" w14:textId="35800150" w:rsidR="00A40F45" w:rsidRPr="00A40F45" w:rsidRDefault="00A40F45" w:rsidP="00A40F45">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van der Steen, A. (2022). </w:t>
      </w:r>
      <w:r w:rsidRPr="00A40F45">
        <w:rPr>
          <w:rFonts w:ascii="Times New Roman" w:eastAsia="Times New Roman" w:hAnsi="Times New Roman" w:cs="Times New Roman"/>
          <w:i/>
          <w:iCs/>
          <w:color w:val="000000" w:themeColor="text1"/>
          <w:lang w:val="en-HU" w:eastAsia="en-GB"/>
        </w:rPr>
        <w:t>Research on the next generation semiconductor industry in Taiwan</w:t>
      </w:r>
      <w:r w:rsidRPr="00A40F45">
        <w:rPr>
          <w:rFonts w:ascii="Times New Roman" w:eastAsia="Times New Roman" w:hAnsi="Times New Roman" w:cs="Times New Roman"/>
          <w:color w:val="000000" w:themeColor="text1"/>
          <w:lang w:val="en-HU" w:eastAsia="en-GB"/>
        </w:rPr>
        <w:t xml:space="preserve">. Netherlands </w:t>
      </w:r>
      <w:r>
        <w:rPr>
          <w:rFonts w:ascii="Times New Roman" w:eastAsia="Times New Roman" w:hAnsi="Times New Roman" w:cs="Times New Roman"/>
          <w:color w:val="000000" w:themeColor="text1"/>
          <w:lang w:val="en-HU" w:eastAsia="en-GB"/>
        </w:rPr>
        <w:tab/>
      </w:r>
      <w:r w:rsidRPr="00A40F45">
        <w:rPr>
          <w:rFonts w:ascii="Times New Roman" w:eastAsia="Times New Roman" w:hAnsi="Times New Roman" w:cs="Times New Roman"/>
          <w:color w:val="000000" w:themeColor="text1"/>
          <w:lang w:val="en-HU" w:eastAsia="en-GB"/>
        </w:rPr>
        <w:t>Enterprise Agency. </w:t>
      </w:r>
      <w:hyperlink r:id="rId42" w:history="1">
        <w:r w:rsidRPr="00A40F45">
          <w:rPr>
            <w:rStyle w:val="Hyperlink"/>
            <w:rFonts w:eastAsia="Times New Roman"/>
            <w:lang w:val="en-HU" w:eastAsia="en-GB"/>
          </w:rPr>
          <w:t>https://www.rvo.nl</w:t>
        </w:r>
      </w:hyperlink>
    </w:p>
    <w:p w14:paraId="3267A79A" w14:textId="6E9BAE41" w:rsidR="003307A6" w:rsidRPr="003307A6" w:rsidRDefault="00A40F45" w:rsidP="003E6304">
      <w:pPr>
        <w:spacing w:before="100" w:beforeAutospacing="1" w:after="100" w:afterAutospacing="1"/>
        <w:rPr>
          <w:rFonts w:ascii="Times New Roman" w:eastAsia="Times New Roman" w:hAnsi="Times New Roman" w:cs="Times New Roman"/>
          <w:color w:val="000000" w:themeColor="text1"/>
          <w:lang w:val="en-HU" w:eastAsia="en-GB"/>
        </w:rPr>
      </w:pPr>
      <w:r w:rsidRPr="00A40F45">
        <w:rPr>
          <w:rFonts w:ascii="Times New Roman" w:eastAsia="Times New Roman" w:hAnsi="Times New Roman" w:cs="Times New Roman"/>
          <w:color w:val="000000" w:themeColor="text1"/>
          <w:lang w:val="en-HU" w:eastAsia="en-GB"/>
        </w:rPr>
        <w:t xml:space="preserve">Wang, Q., Huang, N., Chen, Z., Chen, X., Cai, H., &amp; Wu, Y. (2023). Environmental data and facts in the </w:t>
      </w:r>
      <w:r>
        <w:rPr>
          <w:rFonts w:ascii="Times New Roman" w:eastAsia="Times New Roman" w:hAnsi="Times New Roman" w:cs="Times New Roman"/>
          <w:color w:val="000000" w:themeColor="text1"/>
          <w:lang w:val="en-HU" w:eastAsia="en-GB"/>
        </w:rPr>
        <w:tab/>
      </w:r>
      <w:r w:rsidRPr="00A40F45">
        <w:rPr>
          <w:rFonts w:ascii="Times New Roman" w:eastAsia="Times New Roman" w:hAnsi="Times New Roman" w:cs="Times New Roman"/>
          <w:color w:val="000000" w:themeColor="text1"/>
          <w:lang w:val="en-HU" w:eastAsia="en-GB"/>
        </w:rPr>
        <w:t xml:space="preserve">semiconductor manufacturing industry: An unexpected high water and energy consumption </w:t>
      </w:r>
      <w:r>
        <w:rPr>
          <w:rFonts w:ascii="Times New Roman" w:eastAsia="Times New Roman" w:hAnsi="Times New Roman" w:cs="Times New Roman"/>
          <w:color w:val="000000" w:themeColor="text1"/>
          <w:lang w:val="en-HU" w:eastAsia="en-GB"/>
        </w:rPr>
        <w:tab/>
      </w:r>
      <w:r w:rsidRPr="00A40F45">
        <w:rPr>
          <w:rFonts w:ascii="Times New Roman" w:eastAsia="Times New Roman" w:hAnsi="Times New Roman" w:cs="Times New Roman"/>
          <w:color w:val="000000" w:themeColor="text1"/>
          <w:lang w:val="en-HU" w:eastAsia="en-GB"/>
        </w:rPr>
        <w:t>situation. </w:t>
      </w:r>
      <w:r w:rsidRPr="00A40F45">
        <w:rPr>
          <w:rFonts w:ascii="Times New Roman" w:eastAsia="Times New Roman" w:hAnsi="Times New Roman" w:cs="Times New Roman"/>
          <w:i/>
          <w:iCs/>
          <w:color w:val="000000" w:themeColor="text1"/>
          <w:lang w:val="en-HU" w:eastAsia="en-GB"/>
        </w:rPr>
        <w:t>Water Cycle, 4</w:t>
      </w:r>
      <w:r w:rsidRPr="00A40F45">
        <w:rPr>
          <w:rFonts w:ascii="Times New Roman" w:eastAsia="Times New Roman" w:hAnsi="Times New Roman" w:cs="Times New Roman"/>
          <w:color w:val="000000" w:themeColor="text1"/>
          <w:lang w:val="en-HU" w:eastAsia="en-GB"/>
        </w:rPr>
        <w:t>, 47–54. </w:t>
      </w:r>
      <w:hyperlink r:id="rId43" w:history="1">
        <w:r w:rsidRPr="00A40F45">
          <w:rPr>
            <w:rStyle w:val="Hyperlink"/>
            <w:rFonts w:eastAsia="Times New Roman"/>
            <w:lang w:val="en-HU" w:eastAsia="en-GB"/>
          </w:rPr>
          <w:t>https://doi.org/10.1016/j.watcyc.2023.01.004</w:t>
        </w:r>
      </w:hyperlink>
    </w:p>
    <w:p w14:paraId="6B179724" w14:textId="77777777" w:rsidR="00A40F45" w:rsidRDefault="00A40F45" w:rsidP="003E6304">
      <w:pPr>
        <w:spacing w:before="100" w:beforeAutospacing="1" w:after="100" w:afterAutospacing="1"/>
        <w:rPr>
          <w:rFonts w:ascii="Times New Roman" w:eastAsia="Times New Roman" w:hAnsi="Times New Roman" w:cs="Times New Roman"/>
          <w:color w:val="000000" w:themeColor="text1"/>
          <w:lang w:val="en-HU" w:eastAsia="en-GB"/>
        </w:rPr>
      </w:pPr>
    </w:p>
    <w:p w14:paraId="63FDE8B4" w14:textId="6578EC8C" w:rsidR="0046400E" w:rsidRPr="003307A6" w:rsidRDefault="000D4233" w:rsidP="003E6304">
      <w:pPr>
        <w:spacing w:before="100" w:beforeAutospacing="1" w:after="100" w:afterAutospacing="1"/>
        <w:rPr>
          <w:rFonts w:ascii="Times New Roman" w:eastAsia="Times New Roman" w:hAnsi="Times New Roman" w:cs="Times New Roman"/>
          <w:color w:val="000000" w:themeColor="text1"/>
          <w:lang w:val="en-HU" w:eastAsia="en-GB"/>
        </w:rPr>
      </w:pPr>
      <w:r w:rsidRPr="003307A6">
        <w:rPr>
          <w:rFonts w:ascii="Times New Roman" w:eastAsia="Times New Roman" w:hAnsi="Times New Roman" w:cs="Times New Roman"/>
          <w:color w:val="000000" w:themeColor="text1"/>
          <w:lang w:val="en-HU" w:eastAsia="en-GB"/>
        </w:rPr>
        <w:t xml:space="preserve">For illustrations </w:t>
      </w:r>
      <w:r w:rsidR="0083291C">
        <w:rPr>
          <w:rFonts w:ascii="Times New Roman" w:eastAsia="Times New Roman" w:hAnsi="Times New Roman" w:cs="Times New Roman"/>
          <w:color w:val="000000" w:themeColor="text1"/>
          <w:lang w:val="en-HU" w:eastAsia="en-GB"/>
        </w:rPr>
        <w:t>the paper</w:t>
      </w:r>
      <w:r w:rsidRPr="003307A6">
        <w:rPr>
          <w:rFonts w:ascii="Times New Roman" w:eastAsia="Times New Roman" w:hAnsi="Times New Roman" w:cs="Times New Roman"/>
          <w:color w:val="000000" w:themeColor="text1"/>
          <w:lang w:val="en-HU" w:eastAsia="en-GB"/>
        </w:rPr>
        <w:t xml:space="preserve"> use</w:t>
      </w:r>
      <w:r w:rsidR="0083291C">
        <w:rPr>
          <w:rFonts w:ascii="Times New Roman" w:eastAsia="Times New Roman" w:hAnsi="Times New Roman" w:cs="Times New Roman"/>
          <w:color w:val="000000" w:themeColor="text1"/>
          <w:lang w:val="en-HU" w:eastAsia="en-GB"/>
        </w:rPr>
        <w:t xml:space="preserve">s </w:t>
      </w:r>
      <w:r w:rsidR="00E52019" w:rsidRPr="003307A6">
        <w:rPr>
          <w:rFonts w:ascii="Times New Roman" w:eastAsia="Times New Roman" w:hAnsi="Times New Roman" w:cs="Times New Roman"/>
          <w:color w:val="000000" w:themeColor="text1"/>
          <w:lang w:val="en-HU" w:eastAsia="en-GB"/>
        </w:rPr>
        <w:t>Python and this is the Github repository link where all coding files are located:</w:t>
      </w:r>
    </w:p>
    <w:p w14:paraId="1C75717A" w14:textId="3FBF4CD6" w:rsidR="000D4233" w:rsidRDefault="00B40A12" w:rsidP="003307A6">
      <w:pPr>
        <w:spacing w:before="100" w:beforeAutospacing="1" w:after="100" w:afterAutospacing="1"/>
        <w:rPr>
          <w:rFonts w:ascii="Times New Roman" w:eastAsia="Times New Roman" w:hAnsi="Times New Roman" w:cs="Times New Roman"/>
          <w:color w:val="000000" w:themeColor="text1"/>
          <w:lang w:val="en-HU" w:eastAsia="en-GB"/>
        </w:rPr>
      </w:pPr>
      <w:hyperlink r:id="rId44" w:history="1">
        <w:r w:rsidRPr="003307A6">
          <w:rPr>
            <w:rStyle w:val="Hyperlink"/>
            <w:rFonts w:eastAsia="Times New Roman"/>
            <w:lang w:val="en-HU" w:eastAsia="en-GB"/>
          </w:rPr>
          <w:t>https://github.com/matthiasvem/Project-Financial-Instruments-Paper.git</w:t>
        </w:r>
      </w:hyperlink>
    </w:p>
    <w:p w14:paraId="48B69868" w14:textId="77777777" w:rsidR="003307A6" w:rsidRPr="003307A6" w:rsidRDefault="003307A6" w:rsidP="003307A6">
      <w:pPr>
        <w:spacing w:before="100" w:beforeAutospacing="1" w:after="100" w:afterAutospacing="1"/>
        <w:rPr>
          <w:rFonts w:ascii="Times New Roman" w:eastAsia="Times New Roman" w:hAnsi="Times New Roman" w:cs="Times New Roman"/>
          <w:color w:val="000000" w:themeColor="text1"/>
          <w:lang w:val="en-HU" w:eastAsia="en-GB"/>
        </w:rPr>
      </w:pPr>
    </w:p>
    <w:sectPr w:rsidR="003307A6" w:rsidRPr="003307A6" w:rsidSect="0002447C">
      <w:footerReference w:type="even" r:id="rId45"/>
      <w:footerReference w:type="default" r:id="rId46"/>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80BA6" w14:textId="77777777" w:rsidR="00861CCD" w:rsidRDefault="00861CCD" w:rsidP="00926392">
      <w:r>
        <w:separator/>
      </w:r>
    </w:p>
  </w:endnote>
  <w:endnote w:type="continuationSeparator" w:id="0">
    <w:p w14:paraId="1DBDDBB0" w14:textId="77777777" w:rsidR="00861CCD" w:rsidRDefault="00861CCD" w:rsidP="00926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1215226"/>
      <w:docPartObj>
        <w:docPartGallery w:val="Page Numbers (Bottom of Page)"/>
        <w:docPartUnique/>
      </w:docPartObj>
    </w:sdtPr>
    <w:sdtContent>
      <w:p w14:paraId="462C34D8" w14:textId="3A0E1BEE" w:rsidR="0002447C" w:rsidRDefault="0002447C" w:rsidP="004B01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456B25" w14:textId="77777777" w:rsidR="0002447C" w:rsidRDefault="000244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8553957"/>
      <w:docPartObj>
        <w:docPartGallery w:val="Page Numbers (Bottom of Page)"/>
        <w:docPartUnique/>
      </w:docPartObj>
    </w:sdtPr>
    <w:sdtContent>
      <w:p w14:paraId="0A06D928" w14:textId="7F9A20BB" w:rsidR="0002447C" w:rsidRDefault="0002447C" w:rsidP="004B01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C559375" w14:textId="77777777" w:rsidR="0002447C" w:rsidRDefault="000244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1459E" w14:textId="77777777" w:rsidR="00861CCD" w:rsidRDefault="00861CCD" w:rsidP="00926392">
      <w:r>
        <w:separator/>
      </w:r>
    </w:p>
  </w:footnote>
  <w:footnote w:type="continuationSeparator" w:id="0">
    <w:p w14:paraId="629135FE" w14:textId="77777777" w:rsidR="00861CCD" w:rsidRDefault="00861CCD" w:rsidP="009263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E28B7"/>
    <w:multiLevelType w:val="multilevel"/>
    <w:tmpl w:val="642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D4ECD"/>
    <w:multiLevelType w:val="multilevel"/>
    <w:tmpl w:val="C486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898192">
    <w:abstractNumId w:val="0"/>
  </w:num>
  <w:num w:numId="2" w16cid:durableId="708065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8C1"/>
    <w:rsid w:val="00001D41"/>
    <w:rsid w:val="00002726"/>
    <w:rsid w:val="000056B3"/>
    <w:rsid w:val="0000613A"/>
    <w:rsid w:val="000069A7"/>
    <w:rsid w:val="0001263C"/>
    <w:rsid w:val="00012C2C"/>
    <w:rsid w:val="00012CAC"/>
    <w:rsid w:val="00014F78"/>
    <w:rsid w:val="0001529D"/>
    <w:rsid w:val="0002114E"/>
    <w:rsid w:val="00021588"/>
    <w:rsid w:val="000219F5"/>
    <w:rsid w:val="0002447C"/>
    <w:rsid w:val="00024AF0"/>
    <w:rsid w:val="00025EAB"/>
    <w:rsid w:val="00026EA7"/>
    <w:rsid w:val="000314B9"/>
    <w:rsid w:val="0003178A"/>
    <w:rsid w:val="000333EA"/>
    <w:rsid w:val="00033677"/>
    <w:rsid w:val="00035D13"/>
    <w:rsid w:val="00040DEC"/>
    <w:rsid w:val="00042423"/>
    <w:rsid w:val="00047A7F"/>
    <w:rsid w:val="00047B0C"/>
    <w:rsid w:val="000501DB"/>
    <w:rsid w:val="00051564"/>
    <w:rsid w:val="00052647"/>
    <w:rsid w:val="0005365C"/>
    <w:rsid w:val="00054DE5"/>
    <w:rsid w:val="00054E5C"/>
    <w:rsid w:val="0005613A"/>
    <w:rsid w:val="00056694"/>
    <w:rsid w:val="00062F63"/>
    <w:rsid w:val="00065C52"/>
    <w:rsid w:val="00067641"/>
    <w:rsid w:val="000676CD"/>
    <w:rsid w:val="00070745"/>
    <w:rsid w:val="00070B91"/>
    <w:rsid w:val="00072FC1"/>
    <w:rsid w:val="0007397D"/>
    <w:rsid w:val="000753DF"/>
    <w:rsid w:val="00076FAE"/>
    <w:rsid w:val="0007761B"/>
    <w:rsid w:val="00080279"/>
    <w:rsid w:val="0008445E"/>
    <w:rsid w:val="00085556"/>
    <w:rsid w:val="000866AB"/>
    <w:rsid w:val="00087A56"/>
    <w:rsid w:val="00092BB0"/>
    <w:rsid w:val="00093167"/>
    <w:rsid w:val="0009377C"/>
    <w:rsid w:val="000937E5"/>
    <w:rsid w:val="00095A34"/>
    <w:rsid w:val="00096A65"/>
    <w:rsid w:val="00097C5D"/>
    <w:rsid w:val="000A073C"/>
    <w:rsid w:val="000A0AD0"/>
    <w:rsid w:val="000A3320"/>
    <w:rsid w:val="000A4653"/>
    <w:rsid w:val="000A581C"/>
    <w:rsid w:val="000A62C5"/>
    <w:rsid w:val="000A7533"/>
    <w:rsid w:val="000B2343"/>
    <w:rsid w:val="000B3BCA"/>
    <w:rsid w:val="000B5EBD"/>
    <w:rsid w:val="000B6F4F"/>
    <w:rsid w:val="000B7397"/>
    <w:rsid w:val="000C2B1D"/>
    <w:rsid w:val="000C76ED"/>
    <w:rsid w:val="000C7F89"/>
    <w:rsid w:val="000D1BAD"/>
    <w:rsid w:val="000D3D36"/>
    <w:rsid w:val="000D4233"/>
    <w:rsid w:val="000D4910"/>
    <w:rsid w:val="000D7699"/>
    <w:rsid w:val="000E033C"/>
    <w:rsid w:val="000E08E9"/>
    <w:rsid w:val="000E0D93"/>
    <w:rsid w:val="000E124A"/>
    <w:rsid w:val="000E1E3E"/>
    <w:rsid w:val="000E30FC"/>
    <w:rsid w:val="000E407A"/>
    <w:rsid w:val="000E429A"/>
    <w:rsid w:val="000E613B"/>
    <w:rsid w:val="000E6A0A"/>
    <w:rsid w:val="000E6BAB"/>
    <w:rsid w:val="000E70E2"/>
    <w:rsid w:val="000E7366"/>
    <w:rsid w:val="000E7638"/>
    <w:rsid w:val="000E7DC1"/>
    <w:rsid w:val="000F00E4"/>
    <w:rsid w:val="000F070E"/>
    <w:rsid w:val="000F2DEB"/>
    <w:rsid w:val="000F5F1F"/>
    <w:rsid w:val="00100821"/>
    <w:rsid w:val="00100A92"/>
    <w:rsid w:val="00102156"/>
    <w:rsid w:val="001022CC"/>
    <w:rsid w:val="00102CD7"/>
    <w:rsid w:val="001039C8"/>
    <w:rsid w:val="001077C2"/>
    <w:rsid w:val="001120FF"/>
    <w:rsid w:val="001125D4"/>
    <w:rsid w:val="00113493"/>
    <w:rsid w:val="00115A8A"/>
    <w:rsid w:val="00116103"/>
    <w:rsid w:val="00120179"/>
    <w:rsid w:val="00120A65"/>
    <w:rsid w:val="00120B44"/>
    <w:rsid w:val="00121D63"/>
    <w:rsid w:val="00122519"/>
    <w:rsid w:val="00124A98"/>
    <w:rsid w:val="00126BA1"/>
    <w:rsid w:val="00127702"/>
    <w:rsid w:val="00132547"/>
    <w:rsid w:val="00132B1D"/>
    <w:rsid w:val="00133CF6"/>
    <w:rsid w:val="0013614D"/>
    <w:rsid w:val="00137997"/>
    <w:rsid w:val="00140CA5"/>
    <w:rsid w:val="00143AFD"/>
    <w:rsid w:val="00144290"/>
    <w:rsid w:val="00145D4A"/>
    <w:rsid w:val="0015020D"/>
    <w:rsid w:val="00151BB9"/>
    <w:rsid w:val="00153669"/>
    <w:rsid w:val="00154269"/>
    <w:rsid w:val="00154D38"/>
    <w:rsid w:val="001602F0"/>
    <w:rsid w:val="0016308A"/>
    <w:rsid w:val="00163A45"/>
    <w:rsid w:val="00163BB5"/>
    <w:rsid w:val="00164D58"/>
    <w:rsid w:val="001721EB"/>
    <w:rsid w:val="001734E3"/>
    <w:rsid w:val="001736F1"/>
    <w:rsid w:val="00174A90"/>
    <w:rsid w:val="001756CC"/>
    <w:rsid w:val="00177996"/>
    <w:rsid w:val="001812C9"/>
    <w:rsid w:val="00181CCE"/>
    <w:rsid w:val="001847F1"/>
    <w:rsid w:val="00185E3F"/>
    <w:rsid w:val="00187849"/>
    <w:rsid w:val="0019350E"/>
    <w:rsid w:val="00193BF0"/>
    <w:rsid w:val="00194038"/>
    <w:rsid w:val="001975EE"/>
    <w:rsid w:val="001A081F"/>
    <w:rsid w:val="001A3B0E"/>
    <w:rsid w:val="001A5D7A"/>
    <w:rsid w:val="001A62B9"/>
    <w:rsid w:val="001A71E0"/>
    <w:rsid w:val="001B01CB"/>
    <w:rsid w:val="001B2FB6"/>
    <w:rsid w:val="001B5131"/>
    <w:rsid w:val="001B5239"/>
    <w:rsid w:val="001B7870"/>
    <w:rsid w:val="001C1F2F"/>
    <w:rsid w:val="001C3EF8"/>
    <w:rsid w:val="001C49B3"/>
    <w:rsid w:val="001C5B85"/>
    <w:rsid w:val="001C5EC9"/>
    <w:rsid w:val="001D0EB3"/>
    <w:rsid w:val="001D1AE4"/>
    <w:rsid w:val="001D1CB5"/>
    <w:rsid w:val="001D20F3"/>
    <w:rsid w:val="001D2343"/>
    <w:rsid w:val="001D2E05"/>
    <w:rsid w:val="001D315B"/>
    <w:rsid w:val="001D3A68"/>
    <w:rsid w:val="001D48B8"/>
    <w:rsid w:val="001D4B51"/>
    <w:rsid w:val="001E17CB"/>
    <w:rsid w:val="001E31CA"/>
    <w:rsid w:val="001E38CF"/>
    <w:rsid w:val="001F077D"/>
    <w:rsid w:val="001F1AE0"/>
    <w:rsid w:val="001F3B6D"/>
    <w:rsid w:val="001F4420"/>
    <w:rsid w:val="001F4822"/>
    <w:rsid w:val="001F5CDF"/>
    <w:rsid w:val="001F6965"/>
    <w:rsid w:val="002003C9"/>
    <w:rsid w:val="0020225E"/>
    <w:rsid w:val="00202B71"/>
    <w:rsid w:val="002033FF"/>
    <w:rsid w:val="00207061"/>
    <w:rsid w:val="00211529"/>
    <w:rsid w:val="002117EB"/>
    <w:rsid w:val="00212FF4"/>
    <w:rsid w:val="0021373A"/>
    <w:rsid w:val="00214F92"/>
    <w:rsid w:val="002151BA"/>
    <w:rsid w:val="00216267"/>
    <w:rsid w:val="00217823"/>
    <w:rsid w:val="00222837"/>
    <w:rsid w:val="00224C62"/>
    <w:rsid w:val="00226BC3"/>
    <w:rsid w:val="002278F7"/>
    <w:rsid w:val="00232A6A"/>
    <w:rsid w:val="00235652"/>
    <w:rsid w:val="00240254"/>
    <w:rsid w:val="00240F43"/>
    <w:rsid w:val="00241456"/>
    <w:rsid w:val="00241DC0"/>
    <w:rsid w:val="00244914"/>
    <w:rsid w:val="00244AAB"/>
    <w:rsid w:val="00244BE2"/>
    <w:rsid w:val="00246E0E"/>
    <w:rsid w:val="00246F12"/>
    <w:rsid w:val="00247A02"/>
    <w:rsid w:val="00250630"/>
    <w:rsid w:val="00251E98"/>
    <w:rsid w:val="00252B15"/>
    <w:rsid w:val="002559D6"/>
    <w:rsid w:val="00255BCC"/>
    <w:rsid w:val="002606C5"/>
    <w:rsid w:val="0026187A"/>
    <w:rsid w:val="00261FE2"/>
    <w:rsid w:val="002629AA"/>
    <w:rsid w:val="00263268"/>
    <w:rsid w:val="00263725"/>
    <w:rsid w:val="00266A7C"/>
    <w:rsid w:val="00266CB3"/>
    <w:rsid w:val="0026791F"/>
    <w:rsid w:val="0027383B"/>
    <w:rsid w:val="00273F28"/>
    <w:rsid w:val="00274A5A"/>
    <w:rsid w:val="00276476"/>
    <w:rsid w:val="0027767B"/>
    <w:rsid w:val="00280283"/>
    <w:rsid w:val="00280AB3"/>
    <w:rsid w:val="0028144B"/>
    <w:rsid w:val="0028149A"/>
    <w:rsid w:val="00282001"/>
    <w:rsid w:val="002844F7"/>
    <w:rsid w:val="0028514E"/>
    <w:rsid w:val="00286266"/>
    <w:rsid w:val="00291607"/>
    <w:rsid w:val="00293200"/>
    <w:rsid w:val="0029334A"/>
    <w:rsid w:val="002943F1"/>
    <w:rsid w:val="002953EF"/>
    <w:rsid w:val="002A14D3"/>
    <w:rsid w:val="002A1A3D"/>
    <w:rsid w:val="002A22ED"/>
    <w:rsid w:val="002A2940"/>
    <w:rsid w:val="002A3787"/>
    <w:rsid w:val="002A3958"/>
    <w:rsid w:val="002A3D6F"/>
    <w:rsid w:val="002A44DB"/>
    <w:rsid w:val="002A4811"/>
    <w:rsid w:val="002A4E75"/>
    <w:rsid w:val="002A68F6"/>
    <w:rsid w:val="002A738C"/>
    <w:rsid w:val="002B0649"/>
    <w:rsid w:val="002B1C35"/>
    <w:rsid w:val="002B7615"/>
    <w:rsid w:val="002B78B5"/>
    <w:rsid w:val="002C0B5A"/>
    <w:rsid w:val="002C129A"/>
    <w:rsid w:val="002C17A9"/>
    <w:rsid w:val="002C1E47"/>
    <w:rsid w:val="002C4848"/>
    <w:rsid w:val="002C6F7B"/>
    <w:rsid w:val="002C73C3"/>
    <w:rsid w:val="002D1366"/>
    <w:rsid w:val="002D204A"/>
    <w:rsid w:val="002D3ADB"/>
    <w:rsid w:val="002D4670"/>
    <w:rsid w:val="002D5C91"/>
    <w:rsid w:val="002D6A6C"/>
    <w:rsid w:val="002D74C5"/>
    <w:rsid w:val="002E098B"/>
    <w:rsid w:val="002E1AA0"/>
    <w:rsid w:val="002E5AAA"/>
    <w:rsid w:val="002F1232"/>
    <w:rsid w:val="002F1F51"/>
    <w:rsid w:val="002F21AC"/>
    <w:rsid w:val="002F27B1"/>
    <w:rsid w:val="002F2DC5"/>
    <w:rsid w:val="002F4DFF"/>
    <w:rsid w:val="002F583F"/>
    <w:rsid w:val="002F6435"/>
    <w:rsid w:val="003021A5"/>
    <w:rsid w:val="00302575"/>
    <w:rsid w:val="0030477D"/>
    <w:rsid w:val="0030518F"/>
    <w:rsid w:val="0030600D"/>
    <w:rsid w:val="003064FF"/>
    <w:rsid w:val="0031037D"/>
    <w:rsid w:val="00310C0C"/>
    <w:rsid w:val="00312408"/>
    <w:rsid w:val="00313DCB"/>
    <w:rsid w:val="00314117"/>
    <w:rsid w:val="00314F05"/>
    <w:rsid w:val="003154F3"/>
    <w:rsid w:val="0031634F"/>
    <w:rsid w:val="0032136A"/>
    <w:rsid w:val="003225B4"/>
    <w:rsid w:val="00324D10"/>
    <w:rsid w:val="00330435"/>
    <w:rsid w:val="003307A6"/>
    <w:rsid w:val="00332205"/>
    <w:rsid w:val="00334845"/>
    <w:rsid w:val="0033648E"/>
    <w:rsid w:val="0034137C"/>
    <w:rsid w:val="003428B6"/>
    <w:rsid w:val="00343B33"/>
    <w:rsid w:val="00343F62"/>
    <w:rsid w:val="00346D46"/>
    <w:rsid w:val="00350133"/>
    <w:rsid w:val="00351B45"/>
    <w:rsid w:val="003521D0"/>
    <w:rsid w:val="0035392A"/>
    <w:rsid w:val="0036078B"/>
    <w:rsid w:val="00360887"/>
    <w:rsid w:val="0036134F"/>
    <w:rsid w:val="00363091"/>
    <w:rsid w:val="00363E53"/>
    <w:rsid w:val="00371BD9"/>
    <w:rsid w:val="00372C9F"/>
    <w:rsid w:val="003745E5"/>
    <w:rsid w:val="00374815"/>
    <w:rsid w:val="0037533C"/>
    <w:rsid w:val="00375A32"/>
    <w:rsid w:val="00380EF6"/>
    <w:rsid w:val="00382475"/>
    <w:rsid w:val="00383224"/>
    <w:rsid w:val="003832D0"/>
    <w:rsid w:val="00385804"/>
    <w:rsid w:val="003873C4"/>
    <w:rsid w:val="003875CC"/>
    <w:rsid w:val="00390239"/>
    <w:rsid w:val="00390F85"/>
    <w:rsid w:val="003911DC"/>
    <w:rsid w:val="00391941"/>
    <w:rsid w:val="00395AB3"/>
    <w:rsid w:val="00396CE1"/>
    <w:rsid w:val="003A00AA"/>
    <w:rsid w:val="003A0749"/>
    <w:rsid w:val="003A1888"/>
    <w:rsid w:val="003A4391"/>
    <w:rsid w:val="003A4997"/>
    <w:rsid w:val="003A5DAD"/>
    <w:rsid w:val="003A7509"/>
    <w:rsid w:val="003A7CD4"/>
    <w:rsid w:val="003B4CB0"/>
    <w:rsid w:val="003B5A4E"/>
    <w:rsid w:val="003B6A08"/>
    <w:rsid w:val="003B6B4B"/>
    <w:rsid w:val="003C01E6"/>
    <w:rsid w:val="003C08A2"/>
    <w:rsid w:val="003C1871"/>
    <w:rsid w:val="003C1B26"/>
    <w:rsid w:val="003C23D7"/>
    <w:rsid w:val="003C7415"/>
    <w:rsid w:val="003D1490"/>
    <w:rsid w:val="003D33D6"/>
    <w:rsid w:val="003D41E8"/>
    <w:rsid w:val="003D6EC5"/>
    <w:rsid w:val="003E0B2D"/>
    <w:rsid w:val="003E198D"/>
    <w:rsid w:val="003E3685"/>
    <w:rsid w:val="003E4C80"/>
    <w:rsid w:val="003E591E"/>
    <w:rsid w:val="003E5A52"/>
    <w:rsid w:val="003E6304"/>
    <w:rsid w:val="003E6FC4"/>
    <w:rsid w:val="003F0294"/>
    <w:rsid w:val="003F1147"/>
    <w:rsid w:val="003F2739"/>
    <w:rsid w:val="003F6A34"/>
    <w:rsid w:val="003F74F9"/>
    <w:rsid w:val="003F7BC3"/>
    <w:rsid w:val="004009C8"/>
    <w:rsid w:val="00401E40"/>
    <w:rsid w:val="004038E5"/>
    <w:rsid w:val="00404844"/>
    <w:rsid w:val="004058C1"/>
    <w:rsid w:val="00407810"/>
    <w:rsid w:val="0040793D"/>
    <w:rsid w:val="00407D0A"/>
    <w:rsid w:val="00410888"/>
    <w:rsid w:val="00411B44"/>
    <w:rsid w:val="00417809"/>
    <w:rsid w:val="004212B5"/>
    <w:rsid w:val="00421FAB"/>
    <w:rsid w:val="00423BE5"/>
    <w:rsid w:val="004241DD"/>
    <w:rsid w:val="004264CA"/>
    <w:rsid w:val="00427002"/>
    <w:rsid w:val="00427D6D"/>
    <w:rsid w:val="00430603"/>
    <w:rsid w:val="00430AB0"/>
    <w:rsid w:val="004316F7"/>
    <w:rsid w:val="004355EE"/>
    <w:rsid w:val="00435742"/>
    <w:rsid w:val="00436C3A"/>
    <w:rsid w:val="0043762A"/>
    <w:rsid w:val="00440EF9"/>
    <w:rsid w:val="00447DF9"/>
    <w:rsid w:val="00451173"/>
    <w:rsid w:val="0045307E"/>
    <w:rsid w:val="004545E3"/>
    <w:rsid w:val="004553F9"/>
    <w:rsid w:val="004609BE"/>
    <w:rsid w:val="0046112A"/>
    <w:rsid w:val="00461464"/>
    <w:rsid w:val="0046227C"/>
    <w:rsid w:val="004623EB"/>
    <w:rsid w:val="0046317C"/>
    <w:rsid w:val="00463F2B"/>
    <w:rsid w:val="0046400E"/>
    <w:rsid w:val="00464A55"/>
    <w:rsid w:val="00464C21"/>
    <w:rsid w:val="00466A6F"/>
    <w:rsid w:val="00471854"/>
    <w:rsid w:val="004727AB"/>
    <w:rsid w:val="00474093"/>
    <w:rsid w:val="004747DE"/>
    <w:rsid w:val="00475C4D"/>
    <w:rsid w:val="00475FE5"/>
    <w:rsid w:val="0047784C"/>
    <w:rsid w:val="00480238"/>
    <w:rsid w:val="00480D6B"/>
    <w:rsid w:val="004816A3"/>
    <w:rsid w:val="00482D74"/>
    <w:rsid w:val="004841FD"/>
    <w:rsid w:val="0048441D"/>
    <w:rsid w:val="00485AEA"/>
    <w:rsid w:val="00494C1C"/>
    <w:rsid w:val="00495663"/>
    <w:rsid w:val="0049591A"/>
    <w:rsid w:val="00497070"/>
    <w:rsid w:val="00497349"/>
    <w:rsid w:val="004A06AB"/>
    <w:rsid w:val="004A506B"/>
    <w:rsid w:val="004A68A1"/>
    <w:rsid w:val="004A7696"/>
    <w:rsid w:val="004B060A"/>
    <w:rsid w:val="004B0F0F"/>
    <w:rsid w:val="004B4691"/>
    <w:rsid w:val="004B479A"/>
    <w:rsid w:val="004B6932"/>
    <w:rsid w:val="004B7288"/>
    <w:rsid w:val="004B72B0"/>
    <w:rsid w:val="004B7390"/>
    <w:rsid w:val="004C3EA0"/>
    <w:rsid w:val="004C52F8"/>
    <w:rsid w:val="004C5E50"/>
    <w:rsid w:val="004C6B07"/>
    <w:rsid w:val="004D04FB"/>
    <w:rsid w:val="004D1760"/>
    <w:rsid w:val="004D438D"/>
    <w:rsid w:val="004D4DA9"/>
    <w:rsid w:val="004D52DA"/>
    <w:rsid w:val="004D5883"/>
    <w:rsid w:val="004E0771"/>
    <w:rsid w:val="004E194C"/>
    <w:rsid w:val="004E24FB"/>
    <w:rsid w:val="004E32DD"/>
    <w:rsid w:val="004E4E68"/>
    <w:rsid w:val="004F1510"/>
    <w:rsid w:val="004F63D8"/>
    <w:rsid w:val="004F63E6"/>
    <w:rsid w:val="004F713D"/>
    <w:rsid w:val="0050260C"/>
    <w:rsid w:val="00502EA2"/>
    <w:rsid w:val="00510AF6"/>
    <w:rsid w:val="0051452E"/>
    <w:rsid w:val="00514ADA"/>
    <w:rsid w:val="0052206A"/>
    <w:rsid w:val="00522E5F"/>
    <w:rsid w:val="00526BF7"/>
    <w:rsid w:val="00526C15"/>
    <w:rsid w:val="005273B8"/>
    <w:rsid w:val="005276D9"/>
    <w:rsid w:val="00530A45"/>
    <w:rsid w:val="00530B53"/>
    <w:rsid w:val="00535076"/>
    <w:rsid w:val="00544377"/>
    <w:rsid w:val="0054534A"/>
    <w:rsid w:val="0055102C"/>
    <w:rsid w:val="00552E65"/>
    <w:rsid w:val="0055314F"/>
    <w:rsid w:val="005544F3"/>
    <w:rsid w:val="00556CC1"/>
    <w:rsid w:val="005579E4"/>
    <w:rsid w:val="00557A29"/>
    <w:rsid w:val="0056111E"/>
    <w:rsid w:val="00562EDB"/>
    <w:rsid w:val="00563C3C"/>
    <w:rsid w:val="005705C2"/>
    <w:rsid w:val="00570EA8"/>
    <w:rsid w:val="005720BB"/>
    <w:rsid w:val="00574A67"/>
    <w:rsid w:val="0057685F"/>
    <w:rsid w:val="005768AC"/>
    <w:rsid w:val="00576DEB"/>
    <w:rsid w:val="00584CD3"/>
    <w:rsid w:val="00585D11"/>
    <w:rsid w:val="005902B4"/>
    <w:rsid w:val="0059219D"/>
    <w:rsid w:val="00592210"/>
    <w:rsid w:val="0059330D"/>
    <w:rsid w:val="00596097"/>
    <w:rsid w:val="0059675A"/>
    <w:rsid w:val="00597D56"/>
    <w:rsid w:val="005A2DEF"/>
    <w:rsid w:val="005A3073"/>
    <w:rsid w:val="005A35F5"/>
    <w:rsid w:val="005A500F"/>
    <w:rsid w:val="005A62EB"/>
    <w:rsid w:val="005A6B5F"/>
    <w:rsid w:val="005A7100"/>
    <w:rsid w:val="005A7B28"/>
    <w:rsid w:val="005B0C6F"/>
    <w:rsid w:val="005B173D"/>
    <w:rsid w:val="005B34BC"/>
    <w:rsid w:val="005B440E"/>
    <w:rsid w:val="005B455B"/>
    <w:rsid w:val="005B4BFA"/>
    <w:rsid w:val="005B64B4"/>
    <w:rsid w:val="005B6756"/>
    <w:rsid w:val="005B6A2C"/>
    <w:rsid w:val="005C1D56"/>
    <w:rsid w:val="005C2D44"/>
    <w:rsid w:val="005C303B"/>
    <w:rsid w:val="005C325F"/>
    <w:rsid w:val="005C3477"/>
    <w:rsid w:val="005C4AF8"/>
    <w:rsid w:val="005C74D3"/>
    <w:rsid w:val="005D0C19"/>
    <w:rsid w:val="005D362C"/>
    <w:rsid w:val="005D3F8D"/>
    <w:rsid w:val="005D4DB5"/>
    <w:rsid w:val="005D50D6"/>
    <w:rsid w:val="005D78E1"/>
    <w:rsid w:val="005D7DCE"/>
    <w:rsid w:val="005E0AFB"/>
    <w:rsid w:val="005E2558"/>
    <w:rsid w:val="005E2B6B"/>
    <w:rsid w:val="005E479E"/>
    <w:rsid w:val="005E66A8"/>
    <w:rsid w:val="005F1F38"/>
    <w:rsid w:val="005F2113"/>
    <w:rsid w:val="005F34AD"/>
    <w:rsid w:val="005F640B"/>
    <w:rsid w:val="005F6A2B"/>
    <w:rsid w:val="0060395E"/>
    <w:rsid w:val="00605DEC"/>
    <w:rsid w:val="00605F2D"/>
    <w:rsid w:val="00606FF5"/>
    <w:rsid w:val="00607874"/>
    <w:rsid w:val="00607D5C"/>
    <w:rsid w:val="006122E8"/>
    <w:rsid w:val="00613180"/>
    <w:rsid w:val="006157B7"/>
    <w:rsid w:val="0062184D"/>
    <w:rsid w:val="00623107"/>
    <w:rsid w:val="006246E5"/>
    <w:rsid w:val="00625812"/>
    <w:rsid w:val="00627C48"/>
    <w:rsid w:val="00631E07"/>
    <w:rsid w:val="00631ED7"/>
    <w:rsid w:val="00632825"/>
    <w:rsid w:val="00634173"/>
    <w:rsid w:val="00634788"/>
    <w:rsid w:val="00634D7E"/>
    <w:rsid w:val="00634F03"/>
    <w:rsid w:val="00635FC1"/>
    <w:rsid w:val="00637D36"/>
    <w:rsid w:val="00640ED1"/>
    <w:rsid w:val="00643722"/>
    <w:rsid w:val="00644040"/>
    <w:rsid w:val="006509FA"/>
    <w:rsid w:val="00653A44"/>
    <w:rsid w:val="00654AEE"/>
    <w:rsid w:val="00654ED1"/>
    <w:rsid w:val="0065712C"/>
    <w:rsid w:val="00662B43"/>
    <w:rsid w:val="00663268"/>
    <w:rsid w:val="00663798"/>
    <w:rsid w:val="006644C0"/>
    <w:rsid w:val="006663D1"/>
    <w:rsid w:val="00670C11"/>
    <w:rsid w:val="00670D92"/>
    <w:rsid w:val="00671C9B"/>
    <w:rsid w:val="0067201C"/>
    <w:rsid w:val="00674BA7"/>
    <w:rsid w:val="00675005"/>
    <w:rsid w:val="0067509B"/>
    <w:rsid w:val="00675828"/>
    <w:rsid w:val="00675950"/>
    <w:rsid w:val="00680C63"/>
    <w:rsid w:val="00680C98"/>
    <w:rsid w:val="0068347C"/>
    <w:rsid w:val="00684E24"/>
    <w:rsid w:val="00685A71"/>
    <w:rsid w:val="00690DFD"/>
    <w:rsid w:val="00691571"/>
    <w:rsid w:val="00692B11"/>
    <w:rsid w:val="00692B85"/>
    <w:rsid w:val="00692FA0"/>
    <w:rsid w:val="0069325B"/>
    <w:rsid w:val="006935EB"/>
    <w:rsid w:val="00696BFB"/>
    <w:rsid w:val="006972E8"/>
    <w:rsid w:val="006A0026"/>
    <w:rsid w:val="006A16BD"/>
    <w:rsid w:val="006A4B29"/>
    <w:rsid w:val="006A4E23"/>
    <w:rsid w:val="006A68D3"/>
    <w:rsid w:val="006A76C6"/>
    <w:rsid w:val="006A7BBD"/>
    <w:rsid w:val="006B1186"/>
    <w:rsid w:val="006B1809"/>
    <w:rsid w:val="006B209B"/>
    <w:rsid w:val="006B3FC5"/>
    <w:rsid w:val="006B5055"/>
    <w:rsid w:val="006B768D"/>
    <w:rsid w:val="006C179C"/>
    <w:rsid w:val="006C2995"/>
    <w:rsid w:val="006C37F1"/>
    <w:rsid w:val="006C6637"/>
    <w:rsid w:val="006C6C6C"/>
    <w:rsid w:val="006C7AD1"/>
    <w:rsid w:val="006D0683"/>
    <w:rsid w:val="006D0BED"/>
    <w:rsid w:val="006D23BA"/>
    <w:rsid w:val="006D33C7"/>
    <w:rsid w:val="006D370F"/>
    <w:rsid w:val="006D4006"/>
    <w:rsid w:val="006D4A06"/>
    <w:rsid w:val="006D4FE9"/>
    <w:rsid w:val="006D578A"/>
    <w:rsid w:val="006D5BBB"/>
    <w:rsid w:val="006D5FF7"/>
    <w:rsid w:val="006D7055"/>
    <w:rsid w:val="006E0585"/>
    <w:rsid w:val="006E1D9C"/>
    <w:rsid w:val="006E2359"/>
    <w:rsid w:val="006E2CE3"/>
    <w:rsid w:val="006E55E1"/>
    <w:rsid w:val="006E6AF3"/>
    <w:rsid w:val="006E7D81"/>
    <w:rsid w:val="006F0E98"/>
    <w:rsid w:val="006F36E7"/>
    <w:rsid w:val="006F38B4"/>
    <w:rsid w:val="006F39D9"/>
    <w:rsid w:val="006F42BA"/>
    <w:rsid w:val="0070097A"/>
    <w:rsid w:val="00703901"/>
    <w:rsid w:val="00703D4D"/>
    <w:rsid w:val="0070574A"/>
    <w:rsid w:val="0070587F"/>
    <w:rsid w:val="007063A2"/>
    <w:rsid w:val="0070655A"/>
    <w:rsid w:val="007066C4"/>
    <w:rsid w:val="00710F95"/>
    <w:rsid w:val="007150FF"/>
    <w:rsid w:val="007156B0"/>
    <w:rsid w:val="00716272"/>
    <w:rsid w:val="00721199"/>
    <w:rsid w:val="00723B70"/>
    <w:rsid w:val="0072409A"/>
    <w:rsid w:val="00724FD8"/>
    <w:rsid w:val="00725E8D"/>
    <w:rsid w:val="0072739D"/>
    <w:rsid w:val="00731C4A"/>
    <w:rsid w:val="00734F50"/>
    <w:rsid w:val="00734F81"/>
    <w:rsid w:val="00735012"/>
    <w:rsid w:val="007353D5"/>
    <w:rsid w:val="00735460"/>
    <w:rsid w:val="0073653B"/>
    <w:rsid w:val="007414AD"/>
    <w:rsid w:val="00744782"/>
    <w:rsid w:val="007456F7"/>
    <w:rsid w:val="007468A3"/>
    <w:rsid w:val="0075025B"/>
    <w:rsid w:val="00750D7C"/>
    <w:rsid w:val="007515E7"/>
    <w:rsid w:val="00752689"/>
    <w:rsid w:val="0075423E"/>
    <w:rsid w:val="0075513C"/>
    <w:rsid w:val="00756F2C"/>
    <w:rsid w:val="007619C2"/>
    <w:rsid w:val="007622C0"/>
    <w:rsid w:val="00762D11"/>
    <w:rsid w:val="00762D42"/>
    <w:rsid w:val="00763CBE"/>
    <w:rsid w:val="0076708B"/>
    <w:rsid w:val="007673DF"/>
    <w:rsid w:val="00767FA4"/>
    <w:rsid w:val="0077076E"/>
    <w:rsid w:val="0077087A"/>
    <w:rsid w:val="00770F6D"/>
    <w:rsid w:val="00771961"/>
    <w:rsid w:val="0077268C"/>
    <w:rsid w:val="007757B6"/>
    <w:rsid w:val="007761FF"/>
    <w:rsid w:val="007763C7"/>
    <w:rsid w:val="007770E7"/>
    <w:rsid w:val="00780178"/>
    <w:rsid w:val="00780512"/>
    <w:rsid w:val="00784557"/>
    <w:rsid w:val="00790EDF"/>
    <w:rsid w:val="0079137E"/>
    <w:rsid w:val="007919F3"/>
    <w:rsid w:val="00792CC1"/>
    <w:rsid w:val="007937E5"/>
    <w:rsid w:val="00794F3F"/>
    <w:rsid w:val="007957C9"/>
    <w:rsid w:val="007A2C33"/>
    <w:rsid w:val="007A3EBB"/>
    <w:rsid w:val="007A4956"/>
    <w:rsid w:val="007A55A0"/>
    <w:rsid w:val="007A58B6"/>
    <w:rsid w:val="007A60A7"/>
    <w:rsid w:val="007A6497"/>
    <w:rsid w:val="007A7FD2"/>
    <w:rsid w:val="007B07F6"/>
    <w:rsid w:val="007B1065"/>
    <w:rsid w:val="007B163A"/>
    <w:rsid w:val="007B3F2F"/>
    <w:rsid w:val="007B5D22"/>
    <w:rsid w:val="007B5F0E"/>
    <w:rsid w:val="007B7111"/>
    <w:rsid w:val="007B796A"/>
    <w:rsid w:val="007C01F7"/>
    <w:rsid w:val="007C2392"/>
    <w:rsid w:val="007C27AD"/>
    <w:rsid w:val="007C4920"/>
    <w:rsid w:val="007C6BCE"/>
    <w:rsid w:val="007C793B"/>
    <w:rsid w:val="007D36F9"/>
    <w:rsid w:val="007D3BEB"/>
    <w:rsid w:val="007D57E4"/>
    <w:rsid w:val="007D5FC8"/>
    <w:rsid w:val="007D6347"/>
    <w:rsid w:val="007D6420"/>
    <w:rsid w:val="007D717D"/>
    <w:rsid w:val="007D7256"/>
    <w:rsid w:val="007D7726"/>
    <w:rsid w:val="007E0173"/>
    <w:rsid w:val="007E2FEA"/>
    <w:rsid w:val="007E32CA"/>
    <w:rsid w:val="007E3400"/>
    <w:rsid w:val="007E36A1"/>
    <w:rsid w:val="007E3C23"/>
    <w:rsid w:val="007E3CB7"/>
    <w:rsid w:val="007F04BA"/>
    <w:rsid w:val="007F0A1C"/>
    <w:rsid w:val="007F10ED"/>
    <w:rsid w:val="007F113D"/>
    <w:rsid w:val="007F1611"/>
    <w:rsid w:val="007F22E7"/>
    <w:rsid w:val="007F2F32"/>
    <w:rsid w:val="007F34E3"/>
    <w:rsid w:val="007F5001"/>
    <w:rsid w:val="007F51F2"/>
    <w:rsid w:val="007F5446"/>
    <w:rsid w:val="007F6821"/>
    <w:rsid w:val="00804497"/>
    <w:rsid w:val="0081064B"/>
    <w:rsid w:val="00811833"/>
    <w:rsid w:val="00813C5A"/>
    <w:rsid w:val="00814BDE"/>
    <w:rsid w:val="00815A2B"/>
    <w:rsid w:val="0081733B"/>
    <w:rsid w:val="00821B8A"/>
    <w:rsid w:val="00824028"/>
    <w:rsid w:val="00825027"/>
    <w:rsid w:val="0082584F"/>
    <w:rsid w:val="00830793"/>
    <w:rsid w:val="00831F17"/>
    <w:rsid w:val="0083291C"/>
    <w:rsid w:val="00833024"/>
    <w:rsid w:val="008340F5"/>
    <w:rsid w:val="0083468A"/>
    <w:rsid w:val="00834FA9"/>
    <w:rsid w:val="00836D36"/>
    <w:rsid w:val="0083705B"/>
    <w:rsid w:val="008376CE"/>
    <w:rsid w:val="00841464"/>
    <w:rsid w:val="00841614"/>
    <w:rsid w:val="0084439A"/>
    <w:rsid w:val="00845AD3"/>
    <w:rsid w:val="00846746"/>
    <w:rsid w:val="00846C6B"/>
    <w:rsid w:val="008470F0"/>
    <w:rsid w:val="00850065"/>
    <w:rsid w:val="0085188C"/>
    <w:rsid w:val="0085188E"/>
    <w:rsid w:val="00851954"/>
    <w:rsid w:val="00852EE4"/>
    <w:rsid w:val="00853907"/>
    <w:rsid w:val="00853CEF"/>
    <w:rsid w:val="0085461B"/>
    <w:rsid w:val="00855B87"/>
    <w:rsid w:val="0085639B"/>
    <w:rsid w:val="00856FB9"/>
    <w:rsid w:val="00861CCD"/>
    <w:rsid w:val="0086299A"/>
    <w:rsid w:val="00863CD9"/>
    <w:rsid w:val="008644BB"/>
    <w:rsid w:val="008659CB"/>
    <w:rsid w:val="0087096F"/>
    <w:rsid w:val="00871D19"/>
    <w:rsid w:val="008721E2"/>
    <w:rsid w:val="00875162"/>
    <w:rsid w:val="008752F2"/>
    <w:rsid w:val="00875391"/>
    <w:rsid w:val="00876ED8"/>
    <w:rsid w:val="00881969"/>
    <w:rsid w:val="00883BA1"/>
    <w:rsid w:val="00892B7A"/>
    <w:rsid w:val="00893FB3"/>
    <w:rsid w:val="00894425"/>
    <w:rsid w:val="00895C77"/>
    <w:rsid w:val="00895DEB"/>
    <w:rsid w:val="008963A1"/>
    <w:rsid w:val="008971DA"/>
    <w:rsid w:val="008A0047"/>
    <w:rsid w:val="008A0E7E"/>
    <w:rsid w:val="008A1A6F"/>
    <w:rsid w:val="008A2EC3"/>
    <w:rsid w:val="008A3CD3"/>
    <w:rsid w:val="008A4B3A"/>
    <w:rsid w:val="008A4F1D"/>
    <w:rsid w:val="008A7974"/>
    <w:rsid w:val="008B029C"/>
    <w:rsid w:val="008B1403"/>
    <w:rsid w:val="008B2B9D"/>
    <w:rsid w:val="008B3D22"/>
    <w:rsid w:val="008B405A"/>
    <w:rsid w:val="008B518F"/>
    <w:rsid w:val="008B5AF6"/>
    <w:rsid w:val="008C064A"/>
    <w:rsid w:val="008C0D6C"/>
    <w:rsid w:val="008C112C"/>
    <w:rsid w:val="008C1150"/>
    <w:rsid w:val="008C225F"/>
    <w:rsid w:val="008C2905"/>
    <w:rsid w:val="008C2FD5"/>
    <w:rsid w:val="008C3A12"/>
    <w:rsid w:val="008C5BAF"/>
    <w:rsid w:val="008C75A8"/>
    <w:rsid w:val="008C7CF3"/>
    <w:rsid w:val="008D1796"/>
    <w:rsid w:val="008D1840"/>
    <w:rsid w:val="008D1E15"/>
    <w:rsid w:val="008D3DA8"/>
    <w:rsid w:val="008D4A79"/>
    <w:rsid w:val="008D55F4"/>
    <w:rsid w:val="008D5E02"/>
    <w:rsid w:val="008D6588"/>
    <w:rsid w:val="008D6A6F"/>
    <w:rsid w:val="008D6EAF"/>
    <w:rsid w:val="008E0162"/>
    <w:rsid w:val="008E053B"/>
    <w:rsid w:val="008E0B10"/>
    <w:rsid w:val="008E297A"/>
    <w:rsid w:val="008E312E"/>
    <w:rsid w:val="008E4362"/>
    <w:rsid w:val="008E48A6"/>
    <w:rsid w:val="008E495D"/>
    <w:rsid w:val="008E63D3"/>
    <w:rsid w:val="008E6D04"/>
    <w:rsid w:val="008E7BC1"/>
    <w:rsid w:val="008F29CB"/>
    <w:rsid w:val="008F34B9"/>
    <w:rsid w:val="008F63A8"/>
    <w:rsid w:val="009008C2"/>
    <w:rsid w:val="0090137E"/>
    <w:rsid w:val="00901413"/>
    <w:rsid w:val="00902570"/>
    <w:rsid w:val="00903239"/>
    <w:rsid w:val="0090380E"/>
    <w:rsid w:val="0090450F"/>
    <w:rsid w:val="00904BD2"/>
    <w:rsid w:val="00904FE4"/>
    <w:rsid w:val="0090598D"/>
    <w:rsid w:val="00905F5F"/>
    <w:rsid w:val="009068B3"/>
    <w:rsid w:val="0091066D"/>
    <w:rsid w:val="00910A02"/>
    <w:rsid w:val="00910C2C"/>
    <w:rsid w:val="00911B14"/>
    <w:rsid w:val="00913097"/>
    <w:rsid w:val="009138BF"/>
    <w:rsid w:val="00913DDC"/>
    <w:rsid w:val="009140D1"/>
    <w:rsid w:val="0091768A"/>
    <w:rsid w:val="00921E98"/>
    <w:rsid w:val="00921EF9"/>
    <w:rsid w:val="009231C7"/>
    <w:rsid w:val="00926392"/>
    <w:rsid w:val="00927B24"/>
    <w:rsid w:val="009316F7"/>
    <w:rsid w:val="00931BF0"/>
    <w:rsid w:val="0093408A"/>
    <w:rsid w:val="00935C19"/>
    <w:rsid w:val="009372E5"/>
    <w:rsid w:val="0093761A"/>
    <w:rsid w:val="00941230"/>
    <w:rsid w:val="009428EB"/>
    <w:rsid w:val="00942CD5"/>
    <w:rsid w:val="00942DC2"/>
    <w:rsid w:val="00946551"/>
    <w:rsid w:val="00954DA4"/>
    <w:rsid w:val="00955759"/>
    <w:rsid w:val="0096086C"/>
    <w:rsid w:val="00960D41"/>
    <w:rsid w:val="00961B48"/>
    <w:rsid w:val="00965666"/>
    <w:rsid w:val="009656C0"/>
    <w:rsid w:val="00965BF2"/>
    <w:rsid w:val="00966B10"/>
    <w:rsid w:val="00971055"/>
    <w:rsid w:val="00971099"/>
    <w:rsid w:val="00980A2C"/>
    <w:rsid w:val="009829D0"/>
    <w:rsid w:val="00982B38"/>
    <w:rsid w:val="00982D08"/>
    <w:rsid w:val="0098321C"/>
    <w:rsid w:val="00983BDB"/>
    <w:rsid w:val="00984A37"/>
    <w:rsid w:val="0098577A"/>
    <w:rsid w:val="00990194"/>
    <w:rsid w:val="009903F5"/>
    <w:rsid w:val="0099064E"/>
    <w:rsid w:val="00990D51"/>
    <w:rsid w:val="00997DC2"/>
    <w:rsid w:val="00997E0C"/>
    <w:rsid w:val="009A02E7"/>
    <w:rsid w:val="009A13C7"/>
    <w:rsid w:val="009A2B1E"/>
    <w:rsid w:val="009A35BF"/>
    <w:rsid w:val="009A4031"/>
    <w:rsid w:val="009A5CBF"/>
    <w:rsid w:val="009B1512"/>
    <w:rsid w:val="009B1719"/>
    <w:rsid w:val="009B1D51"/>
    <w:rsid w:val="009B2B1E"/>
    <w:rsid w:val="009B2C16"/>
    <w:rsid w:val="009C0376"/>
    <w:rsid w:val="009C094F"/>
    <w:rsid w:val="009C341C"/>
    <w:rsid w:val="009C6FAD"/>
    <w:rsid w:val="009D0EB7"/>
    <w:rsid w:val="009D15D9"/>
    <w:rsid w:val="009D4C7C"/>
    <w:rsid w:val="009D525E"/>
    <w:rsid w:val="009D62D6"/>
    <w:rsid w:val="009D6F50"/>
    <w:rsid w:val="009D72C7"/>
    <w:rsid w:val="009D743F"/>
    <w:rsid w:val="009D76CC"/>
    <w:rsid w:val="009D7F9E"/>
    <w:rsid w:val="009E008E"/>
    <w:rsid w:val="009E167D"/>
    <w:rsid w:val="009E318C"/>
    <w:rsid w:val="009E376B"/>
    <w:rsid w:val="009E3905"/>
    <w:rsid w:val="009E457D"/>
    <w:rsid w:val="009E4F38"/>
    <w:rsid w:val="009E61AE"/>
    <w:rsid w:val="009E7C31"/>
    <w:rsid w:val="009F2553"/>
    <w:rsid w:val="009F2FBC"/>
    <w:rsid w:val="009F7E53"/>
    <w:rsid w:val="00A06270"/>
    <w:rsid w:val="00A07295"/>
    <w:rsid w:val="00A104BC"/>
    <w:rsid w:val="00A10E58"/>
    <w:rsid w:val="00A1212E"/>
    <w:rsid w:val="00A12137"/>
    <w:rsid w:val="00A127C6"/>
    <w:rsid w:val="00A12DE9"/>
    <w:rsid w:val="00A13769"/>
    <w:rsid w:val="00A15E52"/>
    <w:rsid w:val="00A17F01"/>
    <w:rsid w:val="00A21CBE"/>
    <w:rsid w:val="00A22F4E"/>
    <w:rsid w:val="00A23081"/>
    <w:rsid w:val="00A24266"/>
    <w:rsid w:val="00A25026"/>
    <w:rsid w:val="00A2607D"/>
    <w:rsid w:val="00A2661D"/>
    <w:rsid w:val="00A32FBE"/>
    <w:rsid w:val="00A3339C"/>
    <w:rsid w:val="00A3475C"/>
    <w:rsid w:val="00A34E46"/>
    <w:rsid w:val="00A36245"/>
    <w:rsid w:val="00A36B13"/>
    <w:rsid w:val="00A402A1"/>
    <w:rsid w:val="00A40F45"/>
    <w:rsid w:val="00A410B8"/>
    <w:rsid w:val="00A41498"/>
    <w:rsid w:val="00A424C2"/>
    <w:rsid w:val="00A44B54"/>
    <w:rsid w:val="00A4792A"/>
    <w:rsid w:val="00A500E2"/>
    <w:rsid w:val="00A50176"/>
    <w:rsid w:val="00A51C74"/>
    <w:rsid w:val="00A51E69"/>
    <w:rsid w:val="00A55372"/>
    <w:rsid w:val="00A56E80"/>
    <w:rsid w:val="00A6236F"/>
    <w:rsid w:val="00A631E3"/>
    <w:rsid w:val="00A6515E"/>
    <w:rsid w:val="00A660D4"/>
    <w:rsid w:val="00A724E4"/>
    <w:rsid w:val="00A74434"/>
    <w:rsid w:val="00A75F48"/>
    <w:rsid w:val="00A76678"/>
    <w:rsid w:val="00A775B7"/>
    <w:rsid w:val="00A77B25"/>
    <w:rsid w:val="00A8078B"/>
    <w:rsid w:val="00A82149"/>
    <w:rsid w:val="00A83CE2"/>
    <w:rsid w:val="00A83E04"/>
    <w:rsid w:val="00A8705F"/>
    <w:rsid w:val="00A90008"/>
    <w:rsid w:val="00A91459"/>
    <w:rsid w:val="00A93F0A"/>
    <w:rsid w:val="00A941B7"/>
    <w:rsid w:val="00A95C6B"/>
    <w:rsid w:val="00A95D72"/>
    <w:rsid w:val="00A97C11"/>
    <w:rsid w:val="00AA0DF5"/>
    <w:rsid w:val="00AA26BD"/>
    <w:rsid w:val="00AA348D"/>
    <w:rsid w:val="00AA57B4"/>
    <w:rsid w:val="00AA7964"/>
    <w:rsid w:val="00AB0A4B"/>
    <w:rsid w:val="00AB2DFB"/>
    <w:rsid w:val="00AB3D65"/>
    <w:rsid w:val="00AB6265"/>
    <w:rsid w:val="00AB72AF"/>
    <w:rsid w:val="00AB742D"/>
    <w:rsid w:val="00AC1085"/>
    <w:rsid w:val="00AC3A6D"/>
    <w:rsid w:val="00AC4812"/>
    <w:rsid w:val="00AC4A18"/>
    <w:rsid w:val="00AC4B62"/>
    <w:rsid w:val="00AC59B9"/>
    <w:rsid w:val="00AC65D0"/>
    <w:rsid w:val="00AC7EEC"/>
    <w:rsid w:val="00AD0C43"/>
    <w:rsid w:val="00AD307C"/>
    <w:rsid w:val="00AD3954"/>
    <w:rsid w:val="00AD39FA"/>
    <w:rsid w:val="00AD41D3"/>
    <w:rsid w:val="00AD4674"/>
    <w:rsid w:val="00AD574C"/>
    <w:rsid w:val="00AD5D2A"/>
    <w:rsid w:val="00AE074A"/>
    <w:rsid w:val="00AE0ED7"/>
    <w:rsid w:val="00AE2EF9"/>
    <w:rsid w:val="00AE40F7"/>
    <w:rsid w:val="00AE5CD2"/>
    <w:rsid w:val="00AE7BE6"/>
    <w:rsid w:val="00AF1CCC"/>
    <w:rsid w:val="00AF21F1"/>
    <w:rsid w:val="00AF290D"/>
    <w:rsid w:val="00AF6084"/>
    <w:rsid w:val="00AF6CEC"/>
    <w:rsid w:val="00B003BF"/>
    <w:rsid w:val="00B00BEA"/>
    <w:rsid w:val="00B01C38"/>
    <w:rsid w:val="00B024A2"/>
    <w:rsid w:val="00B02D4B"/>
    <w:rsid w:val="00B060BD"/>
    <w:rsid w:val="00B10401"/>
    <w:rsid w:val="00B10C3D"/>
    <w:rsid w:val="00B115D1"/>
    <w:rsid w:val="00B11CC1"/>
    <w:rsid w:val="00B12BC2"/>
    <w:rsid w:val="00B153BB"/>
    <w:rsid w:val="00B15E7E"/>
    <w:rsid w:val="00B17A50"/>
    <w:rsid w:val="00B17BF8"/>
    <w:rsid w:val="00B17EBE"/>
    <w:rsid w:val="00B20A95"/>
    <w:rsid w:val="00B21D94"/>
    <w:rsid w:val="00B22EEB"/>
    <w:rsid w:val="00B23954"/>
    <w:rsid w:val="00B23B5B"/>
    <w:rsid w:val="00B24B37"/>
    <w:rsid w:val="00B24C87"/>
    <w:rsid w:val="00B26F68"/>
    <w:rsid w:val="00B316A8"/>
    <w:rsid w:val="00B32482"/>
    <w:rsid w:val="00B32D78"/>
    <w:rsid w:val="00B339DF"/>
    <w:rsid w:val="00B36BF9"/>
    <w:rsid w:val="00B403F8"/>
    <w:rsid w:val="00B40468"/>
    <w:rsid w:val="00B40A12"/>
    <w:rsid w:val="00B40BC6"/>
    <w:rsid w:val="00B4354E"/>
    <w:rsid w:val="00B4582D"/>
    <w:rsid w:val="00B47E89"/>
    <w:rsid w:val="00B503ED"/>
    <w:rsid w:val="00B50B60"/>
    <w:rsid w:val="00B50F02"/>
    <w:rsid w:val="00B52465"/>
    <w:rsid w:val="00B53047"/>
    <w:rsid w:val="00B534A2"/>
    <w:rsid w:val="00B55DFF"/>
    <w:rsid w:val="00B57DA2"/>
    <w:rsid w:val="00B616C6"/>
    <w:rsid w:val="00B62E78"/>
    <w:rsid w:val="00B64392"/>
    <w:rsid w:val="00B6569E"/>
    <w:rsid w:val="00B65A3C"/>
    <w:rsid w:val="00B67B9B"/>
    <w:rsid w:val="00B74C2F"/>
    <w:rsid w:val="00B74CFD"/>
    <w:rsid w:val="00B74D78"/>
    <w:rsid w:val="00B74DD7"/>
    <w:rsid w:val="00B74F55"/>
    <w:rsid w:val="00B75F8F"/>
    <w:rsid w:val="00B80F24"/>
    <w:rsid w:val="00B817BA"/>
    <w:rsid w:val="00B8288F"/>
    <w:rsid w:val="00B830D0"/>
    <w:rsid w:val="00B830E7"/>
    <w:rsid w:val="00B83626"/>
    <w:rsid w:val="00B84ACE"/>
    <w:rsid w:val="00B85F6D"/>
    <w:rsid w:val="00B868A0"/>
    <w:rsid w:val="00B936DB"/>
    <w:rsid w:val="00B9460B"/>
    <w:rsid w:val="00B954A1"/>
    <w:rsid w:val="00B954CA"/>
    <w:rsid w:val="00B963C3"/>
    <w:rsid w:val="00B96CE3"/>
    <w:rsid w:val="00BA0B7E"/>
    <w:rsid w:val="00BA1885"/>
    <w:rsid w:val="00BA32FF"/>
    <w:rsid w:val="00BA5216"/>
    <w:rsid w:val="00BA55B4"/>
    <w:rsid w:val="00BA60FE"/>
    <w:rsid w:val="00BB194F"/>
    <w:rsid w:val="00BB2ECD"/>
    <w:rsid w:val="00BB4848"/>
    <w:rsid w:val="00BB5981"/>
    <w:rsid w:val="00BB6326"/>
    <w:rsid w:val="00BC05B6"/>
    <w:rsid w:val="00BC0774"/>
    <w:rsid w:val="00BC296B"/>
    <w:rsid w:val="00BC29C1"/>
    <w:rsid w:val="00BC2A9F"/>
    <w:rsid w:val="00BC612F"/>
    <w:rsid w:val="00BC6AE5"/>
    <w:rsid w:val="00BD1679"/>
    <w:rsid w:val="00BD3D3C"/>
    <w:rsid w:val="00BD5365"/>
    <w:rsid w:val="00BD6F5D"/>
    <w:rsid w:val="00BE0E69"/>
    <w:rsid w:val="00BE288B"/>
    <w:rsid w:val="00BE28B4"/>
    <w:rsid w:val="00BE29F2"/>
    <w:rsid w:val="00BE2E6B"/>
    <w:rsid w:val="00BE5268"/>
    <w:rsid w:val="00BE7C38"/>
    <w:rsid w:val="00BF0D35"/>
    <w:rsid w:val="00BF0E7F"/>
    <w:rsid w:val="00BF1CEB"/>
    <w:rsid w:val="00BF436B"/>
    <w:rsid w:val="00BF4370"/>
    <w:rsid w:val="00BF4B7E"/>
    <w:rsid w:val="00BF4C57"/>
    <w:rsid w:val="00BF69D9"/>
    <w:rsid w:val="00BF70BD"/>
    <w:rsid w:val="00C0005A"/>
    <w:rsid w:val="00C0124E"/>
    <w:rsid w:val="00C03575"/>
    <w:rsid w:val="00C042B2"/>
    <w:rsid w:val="00C059B3"/>
    <w:rsid w:val="00C06919"/>
    <w:rsid w:val="00C102BF"/>
    <w:rsid w:val="00C1139A"/>
    <w:rsid w:val="00C115E5"/>
    <w:rsid w:val="00C12665"/>
    <w:rsid w:val="00C12DEB"/>
    <w:rsid w:val="00C12F23"/>
    <w:rsid w:val="00C133A4"/>
    <w:rsid w:val="00C14853"/>
    <w:rsid w:val="00C14D58"/>
    <w:rsid w:val="00C16E3A"/>
    <w:rsid w:val="00C17B91"/>
    <w:rsid w:val="00C17BE1"/>
    <w:rsid w:val="00C200CB"/>
    <w:rsid w:val="00C22B5F"/>
    <w:rsid w:val="00C231EC"/>
    <w:rsid w:val="00C2494A"/>
    <w:rsid w:val="00C26749"/>
    <w:rsid w:val="00C27F3F"/>
    <w:rsid w:val="00C30191"/>
    <w:rsid w:val="00C329D2"/>
    <w:rsid w:val="00C32D75"/>
    <w:rsid w:val="00C33510"/>
    <w:rsid w:val="00C34C9F"/>
    <w:rsid w:val="00C42425"/>
    <w:rsid w:val="00C42D0F"/>
    <w:rsid w:val="00C435F7"/>
    <w:rsid w:val="00C510A6"/>
    <w:rsid w:val="00C51804"/>
    <w:rsid w:val="00C5241E"/>
    <w:rsid w:val="00C55467"/>
    <w:rsid w:val="00C56BBE"/>
    <w:rsid w:val="00C602F7"/>
    <w:rsid w:val="00C60823"/>
    <w:rsid w:val="00C6142C"/>
    <w:rsid w:val="00C617A1"/>
    <w:rsid w:val="00C62133"/>
    <w:rsid w:val="00C65083"/>
    <w:rsid w:val="00C651CD"/>
    <w:rsid w:val="00C668BD"/>
    <w:rsid w:val="00C66D48"/>
    <w:rsid w:val="00C677CD"/>
    <w:rsid w:val="00C7086B"/>
    <w:rsid w:val="00C70D14"/>
    <w:rsid w:val="00C72076"/>
    <w:rsid w:val="00C741C9"/>
    <w:rsid w:val="00C7463E"/>
    <w:rsid w:val="00C755D3"/>
    <w:rsid w:val="00C767F3"/>
    <w:rsid w:val="00C76961"/>
    <w:rsid w:val="00C77BE6"/>
    <w:rsid w:val="00C804CB"/>
    <w:rsid w:val="00C80FD6"/>
    <w:rsid w:val="00C80FE6"/>
    <w:rsid w:val="00C81052"/>
    <w:rsid w:val="00C81D3E"/>
    <w:rsid w:val="00C81E1E"/>
    <w:rsid w:val="00C84DCF"/>
    <w:rsid w:val="00C84F5D"/>
    <w:rsid w:val="00C86CE4"/>
    <w:rsid w:val="00C87428"/>
    <w:rsid w:val="00C90786"/>
    <w:rsid w:val="00C914E4"/>
    <w:rsid w:val="00C92D5A"/>
    <w:rsid w:val="00C94F98"/>
    <w:rsid w:val="00CA1190"/>
    <w:rsid w:val="00CA1682"/>
    <w:rsid w:val="00CA17D7"/>
    <w:rsid w:val="00CA1926"/>
    <w:rsid w:val="00CA41E2"/>
    <w:rsid w:val="00CA476F"/>
    <w:rsid w:val="00CA6D0C"/>
    <w:rsid w:val="00CA757D"/>
    <w:rsid w:val="00CA7806"/>
    <w:rsid w:val="00CB1F7E"/>
    <w:rsid w:val="00CB3AF4"/>
    <w:rsid w:val="00CB7394"/>
    <w:rsid w:val="00CC1562"/>
    <w:rsid w:val="00CC16D1"/>
    <w:rsid w:val="00CC1D30"/>
    <w:rsid w:val="00CC22DC"/>
    <w:rsid w:val="00CC3377"/>
    <w:rsid w:val="00CC3E81"/>
    <w:rsid w:val="00CC4207"/>
    <w:rsid w:val="00CC4A45"/>
    <w:rsid w:val="00CC4FA9"/>
    <w:rsid w:val="00CC5C71"/>
    <w:rsid w:val="00CD0248"/>
    <w:rsid w:val="00CD232D"/>
    <w:rsid w:val="00CD28D4"/>
    <w:rsid w:val="00CD4A15"/>
    <w:rsid w:val="00CD5D05"/>
    <w:rsid w:val="00CD6442"/>
    <w:rsid w:val="00CE0AD1"/>
    <w:rsid w:val="00CE1438"/>
    <w:rsid w:val="00CE1612"/>
    <w:rsid w:val="00CE1E0C"/>
    <w:rsid w:val="00CE4E8F"/>
    <w:rsid w:val="00CF0FFB"/>
    <w:rsid w:val="00CF27E1"/>
    <w:rsid w:val="00CF3455"/>
    <w:rsid w:val="00CF3D88"/>
    <w:rsid w:val="00CF522C"/>
    <w:rsid w:val="00CF741C"/>
    <w:rsid w:val="00CF7F60"/>
    <w:rsid w:val="00D0096A"/>
    <w:rsid w:val="00D0161B"/>
    <w:rsid w:val="00D01A5E"/>
    <w:rsid w:val="00D02B50"/>
    <w:rsid w:val="00D040C2"/>
    <w:rsid w:val="00D050BA"/>
    <w:rsid w:val="00D06DF6"/>
    <w:rsid w:val="00D119D3"/>
    <w:rsid w:val="00D12AB7"/>
    <w:rsid w:val="00D13386"/>
    <w:rsid w:val="00D137DC"/>
    <w:rsid w:val="00D17F8C"/>
    <w:rsid w:val="00D2015F"/>
    <w:rsid w:val="00D203AE"/>
    <w:rsid w:val="00D210DB"/>
    <w:rsid w:val="00D22E03"/>
    <w:rsid w:val="00D232D6"/>
    <w:rsid w:val="00D23CE6"/>
    <w:rsid w:val="00D26DDB"/>
    <w:rsid w:val="00D272C5"/>
    <w:rsid w:val="00D32CD7"/>
    <w:rsid w:val="00D33A21"/>
    <w:rsid w:val="00D33CF4"/>
    <w:rsid w:val="00D33DE2"/>
    <w:rsid w:val="00D36579"/>
    <w:rsid w:val="00D40B1A"/>
    <w:rsid w:val="00D426A5"/>
    <w:rsid w:val="00D45DFF"/>
    <w:rsid w:val="00D46DA7"/>
    <w:rsid w:val="00D5035F"/>
    <w:rsid w:val="00D5080E"/>
    <w:rsid w:val="00D5161C"/>
    <w:rsid w:val="00D52E9D"/>
    <w:rsid w:val="00D54BEA"/>
    <w:rsid w:val="00D56AEF"/>
    <w:rsid w:val="00D56B19"/>
    <w:rsid w:val="00D5705E"/>
    <w:rsid w:val="00D60C75"/>
    <w:rsid w:val="00D62DF0"/>
    <w:rsid w:val="00D63BBE"/>
    <w:rsid w:val="00D64571"/>
    <w:rsid w:val="00D66903"/>
    <w:rsid w:val="00D70D13"/>
    <w:rsid w:val="00D7225D"/>
    <w:rsid w:val="00D76FB6"/>
    <w:rsid w:val="00D80A1F"/>
    <w:rsid w:val="00D80A54"/>
    <w:rsid w:val="00D8148C"/>
    <w:rsid w:val="00D81E4C"/>
    <w:rsid w:val="00D82D46"/>
    <w:rsid w:val="00D84A82"/>
    <w:rsid w:val="00D856AA"/>
    <w:rsid w:val="00D85E46"/>
    <w:rsid w:val="00D87346"/>
    <w:rsid w:val="00D91C30"/>
    <w:rsid w:val="00D9491A"/>
    <w:rsid w:val="00DA00C1"/>
    <w:rsid w:val="00DA0779"/>
    <w:rsid w:val="00DA0955"/>
    <w:rsid w:val="00DA0ACA"/>
    <w:rsid w:val="00DA3DB1"/>
    <w:rsid w:val="00DA4FE1"/>
    <w:rsid w:val="00DA50CD"/>
    <w:rsid w:val="00DB0953"/>
    <w:rsid w:val="00DB230A"/>
    <w:rsid w:val="00DB4DDE"/>
    <w:rsid w:val="00DB53B8"/>
    <w:rsid w:val="00DB6DC1"/>
    <w:rsid w:val="00DB7B6E"/>
    <w:rsid w:val="00DC1167"/>
    <w:rsid w:val="00DC12F1"/>
    <w:rsid w:val="00DC2CE1"/>
    <w:rsid w:val="00DC48DE"/>
    <w:rsid w:val="00DC5A6C"/>
    <w:rsid w:val="00DC64C0"/>
    <w:rsid w:val="00DC66C2"/>
    <w:rsid w:val="00DD2F63"/>
    <w:rsid w:val="00DD405B"/>
    <w:rsid w:val="00DD5485"/>
    <w:rsid w:val="00DD5838"/>
    <w:rsid w:val="00DD700C"/>
    <w:rsid w:val="00DE0339"/>
    <w:rsid w:val="00DE07E6"/>
    <w:rsid w:val="00DE0EFD"/>
    <w:rsid w:val="00DE4349"/>
    <w:rsid w:val="00DE4615"/>
    <w:rsid w:val="00DE49C2"/>
    <w:rsid w:val="00DE58D4"/>
    <w:rsid w:val="00DE61BF"/>
    <w:rsid w:val="00DE6780"/>
    <w:rsid w:val="00DE76DB"/>
    <w:rsid w:val="00DF61E4"/>
    <w:rsid w:val="00DF6863"/>
    <w:rsid w:val="00DF7ABC"/>
    <w:rsid w:val="00E006F9"/>
    <w:rsid w:val="00E00A4E"/>
    <w:rsid w:val="00E01BCB"/>
    <w:rsid w:val="00E01C17"/>
    <w:rsid w:val="00E03375"/>
    <w:rsid w:val="00E0501D"/>
    <w:rsid w:val="00E05180"/>
    <w:rsid w:val="00E06EF2"/>
    <w:rsid w:val="00E0700C"/>
    <w:rsid w:val="00E1276D"/>
    <w:rsid w:val="00E1405B"/>
    <w:rsid w:val="00E15C02"/>
    <w:rsid w:val="00E17DF3"/>
    <w:rsid w:val="00E17E34"/>
    <w:rsid w:val="00E22F5F"/>
    <w:rsid w:val="00E245D5"/>
    <w:rsid w:val="00E25A0D"/>
    <w:rsid w:val="00E277E6"/>
    <w:rsid w:val="00E27938"/>
    <w:rsid w:val="00E343C0"/>
    <w:rsid w:val="00E36313"/>
    <w:rsid w:val="00E36E1D"/>
    <w:rsid w:val="00E37675"/>
    <w:rsid w:val="00E37C60"/>
    <w:rsid w:val="00E37DD2"/>
    <w:rsid w:val="00E41884"/>
    <w:rsid w:val="00E43FB1"/>
    <w:rsid w:val="00E52019"/>
    <w:rsid w:val="00E522F1"/>
    <w:rsid w:val="00E52913"/>
    <w:rsid w:val="00E52C4E"/>
    <w:rsid w:val="00E53B8D"/>
    <w:rsid w:val="00E53C5B"/>
    <w:rsid w:val="00E563B3"/>
    <w:rsid w:val="00E57CBA"/>
    <w:rsid w:val="00E57D57"/>
    <w:rsid w:val="00E60BA2"/>
    <w:rsid w:val="00E61CFF"/>
    <w:rsid w:val="00E62E71"/>
    <w:rsid w:val="00E6324C"/>
    <w:rsid w:val="00E657AE"/>
    <w:rsid w:val="00E663AA"/>
    <w:rsid w:val="00E669F6"/>
    <w:rsid w:val="00E71E3C"/>
    <w:rsid w:val="00E726CE"/>
    <w:rsid w:val="00E74277"/>
    <w:rsid w:val="00E75BAD"/>
    <w:rsid w:val="00E80311"/>
    <w:rsid w:val="00E812B6"/>
    <w:rsid w:val="00E816D3"/>
    <w:rsid w:val="00E820AC"/>
    <w:rsid w:val="00E8222B"/>
    <w:rsid w:val="00E82F40"/>
    <w:rsid w:val="00E83CED"/>
    <w:rsid w:val="00E83DA2"/>
    <w:rsid w:val="00E85690"/>
    <w:rsid w:val="00E8597B"/>
    <w:rsid w:val="00E85C66"/>
    <w:rsid w:val="00E87397"/>
    <w:rsid w:val="00E87B5C"/>
    <w:rsid w:val="00E9035E"/>
    <w:rsid w:val="00E90ACB"/>
    <w:rsid w:val="00E90C89"/>
    <w:rsid w:val="00E94585"/>
    <w:rsid w:val="00E9476A"/>
    <w:rsid w:val="00E94AA9"/>
    <w:rsid w:val="00E94C01"/>
    <w:rsid w:val="00E95FD1"/>
    <w:rsid w:val="00E9742B"/>
    <w:rsid w:val="00EA254F"/>
    <w:rsid w:val="00EA453A"/>
    <w:rsid w:val="00EA7E15"/>
    <w:rsid w:val="00EB0693"/>
    <w:rsid w:val="00EB08B1"/>
    <w:rsid w:val="00EB50FC"/>
    <w:rsid w:val="00EB58B5"/>
    <w:rsid w:val="00EB6734"/>
    <w:rsid w:val="00EB6770"/>
    <w:rsid w:val="00EC0EAC"/>
    <w:rsid w:val="00EC4DD1"/>
    <w:rsid w:val="00EC504F"/>
    <w:rsid w:val="00EC5772"/>
    <w:rsid w:val="00EC63A8"/>
    <w:rsid w:val="00ED0D2F"/>
    <w:rsid w:val="00ED15AE"/>
    <w:rsid w:val="00ED3DFD"/>
    <w:rsid w:val="00ED638C"/>
    <w:rsid w:val="00ED6AB8"/>
    <w:rsid w:val="00EE0993"/>
    <w:rsid w:val="00EE0C9F"/>
    <w:rsid w:val="00EE2A7E"/>
    <w:rsid w:val="00EE76A9"/>
    <w:rsid w:val="00EF24B0"/>
    <w:rsid w:val="00EF472D"/>
    <w:rsid w:val="00EF63F6"/>
    <w:rsid w:val="00F00CA4"/>
    <w:rsid w:val="00F01EF7"/>
    <w:rsid w:val="00F0259D"/>
    <w:rsid w:val="00F0348C"/>
    <w:rsid w:val="00F04BFB"/>
    <w:rsid w:val="00F05444"/>
    <w:rsid w:val="00F070C8"/>
    <w:rsid w:val="00F07E60"/>
    <w:rsid w:val="00F10FD8"/>
    <w:rsid w:val="00F1548D"/>
    <w:rsid w:val="00F157C1"/>
    <w:rsid w:val="00F1713A"/>
    <w:rsid w:val="00F211C3"/>
    <w:rsid w:val="00F21A1D"/>
    <w:rsid w:val="00F21BB1"/>
    <w:rsid w:val="00F220C1"/>
    <w:rsid w:val="00F231F8"/>
    <w:rsid w:val="00F23BE9"/>
    <w:rsid w:val="00F23E5D"/>
    <w:rsid w:val="00F24C44"/>
    <w:rsid w:val="00F263D4"/>
    <w:rsid w:val="00F30D1C"/>
    <w:rsid w:val="00F3358B"/>
    <w:rsid w:val="00F34306"/>
    <w:rsid w:val="00F34E1B"/>
    <w:rsid w:val="00F352CC"/>
    <w:rsid w:val="00F36642"/>
    <w:rsid w:val="00F37FB8"/>
    <w:rsid w:val="00F40A77"/>
    <w:rsid w:val="00F41E10"/>
    <w:rsid w:val="00F4205B"/>
    <w:rsid w:val="00F435B2"/>
    <w:rsid w:val="00F45260"/>
    <w:rsid w:val="00F455D0"/>
    <w:rsid w:val="00F45D84"/>
    <w:rsid w:val="00F468FA"/>
    <w:rsid w:val="00F50633"/>
    <w:rsid w:val="00F5306E"/>
    <w:rsid w:val="00F53517"/>
    <w:rsid w:val="00F54B54"/>
    <w:rsid w:val="00F54F8B"/>
    <w:rsid w:val="00F5696C"/>
    <w:rsid w:val="00F57526"/>
    <w:rsid w:val="00F6016A"/>
    <w:rsid w:val="00F61CF3"/>
    <w:rsid w:val="00F62D42"/>
    <w:rsid w:val="00F64C77"/>
    <w:rsid w:val="00F66605"/>
    <w:rsid w:val="00F75966"/>
    <w:rsid w:val="00F81DD8"/>
    <w:rsid w:val="00F83FF5"/>
    <w:rsid w:val="00F85CA8"/>
    <w:rsid w:val="00F87524"/>
    <w:rsid w:val="00F91532"/>
    <w:rsid w:val="00F940CA"/>
    <w:rsid w:val="00F95269"/>
    <w:rsid w:val="00F9598F"/>
    <w:rsid w:val="00F95D17"/>
    <w:rsid w:val="00F979A6"/>
    <w:rsid w:val="00FA0806"/>
    <w:rsid w:val="00FA5D2E"/>
    <w:rsid w:val="00FA72EB"/>
    <w:rsid w:val="00FB240C"/>
    <w:rsid w:val="00FB3F56"/>
    <w:rsid w:val="00FB4B53"/>
    <w:rsid w:val="00FC1003"/>
    <w:rsid w:val="00FC402F"/>
    <w:rsid w:val="00FC4B67"/>
    <w:rsid w:val="00FC6A4C"/>
    <w:rsid w:val="00FD0BC2"/>
    <w:rsid w:val="00FD1E17"/>
    <w:rsid w:val="00FD2DB4"/>
    <w:rsid w:val="00FD3836"/>
    <w:rsid w:val="00FD4F13"/>
    <w:rsid w:val="00FD57C8"/>
    <w:rsid w:val="00FD6056"/>
    <w:rsid w:val="00FE1ED5"/>
    <w:rsid w:val="00FE23DB"/>
    <w:rsid w:val="00FE7122"/>
    <w:rsid w:val="00FF0716"/>
    <w:rsid w:val="00FF123C"/>
    <w:rsid w:val="00FF1BC0"/>
    <w:rsid w:val="00FF22E9"/>
    <w:rsid w:val="00FF31E3"/>
    <w:rsid w:val="00FF4353"/>
    <w:rsid w:val="00FF585E"/>
    <w:rsid w:val="00FF7441"/>
    <w:rsid w:val="01156808"/>
    <w:rsid w:val="015A71C8"/>
    <w:rsid w:val="023D3760"/>
    <w:rsid w:val="024A7D9C"/>
    <w:rsid w:val="028957D1"/>
    <w:rsid w:val="02B13023"/>
    <w:rsid w:val="02F7F945"/>
    <w:rsid w:val="032A5C7D"/>
    <w:rsid w:val="0346920D"/>
    <w:rsid w:val="03C5D66A"/>
    <w:rsid w:val="041EEFA0"/>
    <w:rsid w:val="043E3D7A"/>
    <w:rsid w:val="05FA4F9B"/>
    <w:rsid w:val="0681E595"/>
    <w:rsid w:val="07609997"/>
    <w:rsid w:val="07C869C9"/>
    <w:rsid w:val="08A3F093"/>
    <w:rsid w:val="09037C03"/>
    <w:rsid w:val="092BD525"/>
    <w:rsid w:val="09A856EA"/>
    <w:rsid w:val="0A4DFEAC"/>
    <w:rsid w:val="0A8B6B3D"/>
    <w:rsid w:val="0BEA85DD"/>
    <w:rsid w:val="0D4D43B7"/>
    <w:rsid w:val="0D8680E5"/>
    <w:rsid w:val="0DBCAEAE"/>
    <w:rsid w:val="0DF58B95"/>
    <w:rsid w:val="0EFC6C18"/>
    <w:rsid w:val="0F91F0FB"/>
    <w:rsid w:val="0FF1CEF4"/>
    <w:rsid w:val="101601F2"/>
    <w:rsid w:val="10BA9450"/>
    <w:rsid w:val="10D172C6"/>
    <w:rsid w:val="10D18F10"/>
    <w:rsid w:val="10EBD0CA"/>
    <w:rsid w:val="1136C6BD"/>
    <w:rsid w:val="11DCAF9A"/>
    <w:rsid w:val="122DE465"/>
    <w:rsid w:val="1292826C"/>
    <w:rsid w:val="12F5A87F"/>
    <w:rsid w:val="139BFB70"/>
    <w:rsid w:val="13DF6A73"/>
    <w:rsid w:val="147895ED"/>
    <w:rsid w:val="14DC0C33"/>
    <w:rsid w:val="1587D1E5"/>
    <w:rsid w:val="158A522A"/>
    <w:rsid w:val="1632A632"/>
    <w:rsid w:val="1726B847"/>
    <w:rsid w:val="179144DE"/>
    <w:rsid w:val="18648F07"/>
    <w:rsid w:val="18705FF7"/>
    <w:rsid w:val="189F4FB9"/>
    <w:rsid w:val="18A12A0E"/>
    <w:rsid w:val="19CF68C3"/>
    <w:rsid w:val="1AF94BAF"/>
    <w:rsid w:val="1B4D5AB0"/>
    <w:rsid w:val="1B7C2200"/>
    <w:rsid w:val="1BD7F4C4"/>
    <w:rsid w:val="1C071CBC"/>
    <w:rsid w:val="1C36B137"/>
    <w:rsid w:val="1C596087"/>
    <w:rsid w:val="1CA46CE4"/>
    <w:rsid w:val="1CB8F2C7"/>
    <w:rsid w:val="1D72FD0A"/>
    <w:rsid w:val="1D8CD428"/>
    <w:rsid w:val="1DBBFF82"/>
    <w:rsid w:val="1DBE57FE"/>
    <w:rsid w:val="1EAAE8EE"/>
    <w:rsid w:val="1F093C27"/>
    <w:rsid w:val="1F2AC794"/>
    <w:rsid w:val="1FC3682A"/>
    <w:rsid w:val="200D7864"/>
    <w:rsid w:val="2025C899"/>
    <w:rsid w:val="202AB90A"/>
    <w:rsid w:val="20993015"/>
    <w:rsid w:val="20A9FCD4"/>
    <w:rsid w:val="20F4876F"/>
    <w:rsid w:val="21180659"/>
    <w:rsid w:val="21C85888"/>
    <w:rsid w:val="21CB546F"/>
    <w:rsid w:val="220409C2"/>
    <w:rsid w:val="22251712"/>
    <w:rsid w:val="223908C5"/>
    <w:rsid w:val="2272EBF6"/>
    <w:rsid w:val="2321E44E"/>
    <w:rsid w:val="234313A1"/>
    <w:rsid w:val="2471914A"/>
    <w:rsid w:val="26072F10"/>
    <w:rsid w:val="2640BDE3"/>
    <w:rsid w:val="264F7A75"/>
    <w:rsid w:val="2650CCEB"/>
    <w:rsid w:val="2666E5A8"/>
    <w:rsid w:val="26A030EA"/>
    <w:rsid w:val="26E23D7D"/>
    <w:rsid w:val="273D016E"/>
    <w:rsid w:val="27950389"/>
    <w:rsid w:val="2795E63D"/>
    <w:rsid w:val="27F70B10"/>
    <w:rsid w:val="28E592A1"/>
    <w:rsid w:val="2975641F"/>
    <w:rsid w:val="29A98989"/>
    <w:rsid w:val="29E293F2"/>
    <w:rsid w:val="2A461E48"/>
    <w:rsid w:val="2A868D7C"/>
    <w:rsid w:val="2A874A70"/>
    <w:rsid w:val="2AEE77F0"/>
    <w:rsid w:val="2BE8A275"/>
    <w:rsid w:val="2C6AF55E"/>
    <w:rsid w:val="2D472392"/>
    <w:rsid w:val="2E11D747"/>
    <w:rsid w:val="2E30BB14"/>
    <w:rsid w:val="2E752C31"/>
    <w:rsid w:val="2E7BEB01"/>
    <w:rsid w:val="2E8060FA"/>
    <w:rsid w:val="2E8334F9"/>
    <w:rsid w:val="2EC4F250"/>
    <w:rsid w:val="2ED3DC87"/>
    <w:rsid w:val="2F332074"/>
    <w:rsid w:val="2F498393"/>
    <w:rsid w:val="30D57375"/>
    <w:rsid w:val="30EC63DA"/>
    <w:rsid w:val="321F9EA6"/>
    <w:rsid w:val="32219102"/>
    <w:rsid w:val="3280F623"/>
    <w:rsid w:val="328552CC"/>
    <w:rsid w:val="333661AC"/>
    <w:rsid w:val="33E6C5F9"/>
    <w:rsid w:val="34D2F920"/>
    <w:rsid w:val="35ABD7EF"/>
    <w:rsid w:val="35AD208B"/>
    <w:rsid w:val="35B9D41A"/>
    <w:rsid w:val="35D64B27"/>
    <w:rsid w:val="3639EB96"/>
    <w:rsid w:val="368C6235"/>
    <w:rsid w:val="36ECB23D"/>
    <w:rsid w:val="3750DC85"/>
    <w:rsid w:val="37BE558F"/>
    <w:rsid w:val="37C3DAA1"/>
    <w:rsid w:val="38050BCC"/>
    <w:rsid w:val="383A6EDD"/>
    <w:rsid w:val="38575643"/>
    <w:rsid w:val="38B4CFCA"/>
    <w:rsid w:val="39490D0C"/>
    <w:rsid w:val="3966EB3B"/>
    <w:rsid w:val="3A5926C0"/>
    <w:rsid w:val="3A5F1AE9"/>
    <w:rsid w:val="3AC0CF1E"/>
    <w:rsid w:val="3B4F7E54"/>
    <w:rsid w:val="3BEA95A8"/>
    <w:rsid w:val="3C8035C1"/>
    <w:rsid w:val="3CB64578"/>
    <w:rsid w:val="3CDBD9A5"/>
    <w:rsid w:val="3CF889B6"/>
    <w:rsid w:val="3D7F5CFC"/>
    <w:rsid w:val="3ECF6F7B"/>
    <w:rsid w:val="4003F5FA"/>
    <w:rsid w:val="4056E562"/>
    <w:rsid w:val="40CEB0BF"/>
    <w:rsid w:val="412DFE85"/>
    <w:rsid w:val="417E8717"/>
    <w:rsid w:val="41ACE91A"/>
    <w:rsid w:val="421C3C87"/>
    <w:rsid w:val="427CF59A"/>
    <w:rsid w:val="42ACDA12"/>
    <w:rsid w:val="42D6AE9F"/>
    <w:rsid w:val="42FE833C"/>
    <w:rsid w:val="4339DA0A"/>
    <w:rsid w:val="43D1D41F"/>
    <w:rsid w:val="4416715E"/>
    <w:rsid w:val="44EA6F70"/>
    <w:rsid w:val="45FFA469"/>
    <w:rsid w:val="464D4800"/>
    <w:rsid w:val="4661F434"/>
    <w:rsid w:val="46728850"/>
    <w:rsid w:val="4741DDF8"/>
    <w:rsid w:val="499E0A0D"/>
    <w:rsid w:val="4AA36F2E"/>
    <w:rsid w:val="4BDB0E8D"/>
    <w:rsid w:val="4C0E9653"/>
    <w:rsid w:val="4D82BBE4"/>
    <w:rsid w:val="4DD42A10"/>
    <w:rsid w:val="4E09A01F"/>
    <w:rsid w:val="4E0BD7BA"/>
    <w:rsid w:val="4EA0D36F"/>
    <w:rsid w:val="4F91AAB1"/>
    <w:rsid w:val="4FD23867"/>
    <w:rsid w:val="5041CF91"/>
    <w:rsid w:val="507C1707"/>
    <w:rsid w:val="50DD6B12"/>
    <w:rsid w:val="51C3E8AA"/>
    <w:rsid w:val="51D83A23"/>
    <w:rsid w:val="52AFA46B"/>
    <w:rsid w:val="52C66A08"/>
    <w:rsid w:val="52FE4177"/>
    <w:rsid w:val="530DD85B"/>
    <w:rsid w:val="5337CF45"/>
    <w:rsid w:val="539B1FE5"/>
    <w:rsid w:val="547B4156"/>
    <w:rsid w:val="54A65973"/>
    <w:rsid w:val="54C9B531"/>
    <w:rsid w:val="54CDF663"/>
    <w:rsid w:val="54FE66B8"/>
    <w:rsid w:val="55D28A69"/>
    <w:rsid w:val="55D9DC67"/>
    <w:rsid w:val="5666948D"/>
    <w:rsid w:val="5690ED32"/>
    <w:rsid w:val="56FE6F4F"/>
    <w:rsid w:val="5702D82F"/>
    <w:rsid w:val="57B48F04"/>
    <w:rsid w:val="581DDB2F"/>
    <w:rsid w:val="5841D58C"/>
    <w:rsid w:val="58489931"/>
    <w:rsid w:val="5932EECF"/>
    <w:rsid w:val="5A457D2B"/>
    <w:rsid w:val="5AECA3F0"/>
    <w:rsid w:val="5B264B4A"/>
    <w:rsid w:val="5B36D471"/>
    <w:rsid w:val="5B3A0C3F"/>
    <w:rsid w:val="5B3DB6F1"/>
    <w:rsid w:val="5B560D03"/>
    <w:rsid w:val="5B93CF6F"/>
    <w:rsid w:val="5C3C79C4"/>
    <w:rsid w:val="5C4493DB"/>
    <w:rsid w:val="5CB123E4"/>
    <w:rsid w:val="5DCE04A8"/>
    <w:rsid w:val="5DECC092"/>
    <w:rsid w:val="5DFD1949"/>
    <w:rsid w:val="5E25900C"/>
    <w:rsid w:val="5E43501A"/>
    <w:rsid w:val="5F7975F2"/>
    <w:rsid w:val="5F903261"/>
    <w:rsid w:val="5FB4BE37"/>
    <w:rsid w:val="60117D09"/>
    <w:rsid w:val="608DAA8C"/>
    <w:rsid w:val="612BA307"/>
    <w:rsid w:val="6148B9D6"/>
    <w:rsid w:val="6187C25A"/>
    <w:rsid w:val="624F10A1"/>
    <w:rsid w:val="62716F2C"/>
    <w:rsid w:val="62BB9DDA"/>
    <w:rsid w:val="62D686E4"/>
    <w:rsid w:val="63561596"/>
    <w:rsid w:val="63DEFA1E"/>
    <w:rsid w:val="6408FE2A"/>
    <w:rsid w:val="64765153"/>
    <w:rsid w:val="64FB36FF"/>
    <w:rsid w:val="652A90D9"/>
    <w:rsid w:val="65530C61"/>
    <w:rsid w:val="65F1D8C4"/>
    <w:rsid w:val="66ECE474"/>
    <w:rsid w:val="67C3C378"/>
    <w:rsid w:val="67CB56F3"/>
    <w:rsid w:val="682D0205"/>
    <w:rsid w:val="6865C331"/>
    <w:rsid w:val="69DE641F"/>
    <w:rsid w:val="69E9FD91"/>
    <w:rsid w:val="6A13CBE9"/>
    <w:rsid w:val="6A317A53"/>
    <w:rsid w:val="6A5435D1"/>
    <w:rsid w:val="6AB1102D"/>
    <w:rsid w:val="6AC32931"/>
    <w:rsid w:val="6BB5AF44"/>
    <w:rsid w:val="6C57B39B"/>
    <w:rsid w:val="6D54169B"/>
    <w:rsid w:val="6E70D0B8"/>
    <w:rsid w:val="6EBC754C"/>
    <w:rsid w:val="6EC11F90"/>
    <w:rsid w:val="6F051E25"/>
    <w:rsid w:val="6F8217C8"/>
    <w:rsid w:val="6FEE16BE"/>
    <w:rsid w:val="7041723B"/>
    <w:rsid w:val="725C13EE"/>
    <w:rsid w:val="7287EA47"/>
    <w:rsid w:val="72B8B2F4"/>
    <w:rsid w:val="731A366B"/>
    <w:rsid w:val="74374D80"/>
    <w:rsid w:val="74AEF880"/>
    <w:rsid w:val="74B4CF37"/>
    <w:rsid w:val="76073FB7"/>
    <w:rsid w:val="76B3B2E0"/>
    <w:rsid w:val="77BBB41C"/>
    <w:rsid w:val="78278AFC"/>
    <w:rsid w:val="7827E0C3"/>
    <w:rsid w:val="786621AF"/>
    <w:rsid w:val="7876ABB9"/>
    <w:rsid w:val="795AE4C9"/>
    <w:rsid w:val="79A96787"/>
    <w:rsid w:val="7A0C8834"/>
    <w:rsid w:val="7A5A7562"/>
    <w:rsid w:val="7A8203B9"/>
    <w:rsid w:val="7B24A085"/>
    <w:rsid w:val="7B4C25A4"/>
    <w:rsid w:val="7B7627E5"/>
    <w:rsid w:val="7B7A8CB7"/>
    <w:rsid w:val="7BD52D87"/>
    <w:rsid w:val="7C59CBDA"/>
    <w:rsid w:val="7C9B6799"/>
    <w:rsid w:val="7CCB8100"/>
    <w:rsid w:val="7D0F1023"/>
    <w:rsid w:val="7E0CE0F1"/>
    <w:rsid w:val="7E6EB12E"/>
    <w:rsid w:val="7EB770D6"/>
    <w:rsid w:val="7F16FD57"/>
    <w:rsid w:val="7F1CF85C"/>
    <w:rsid w:val="7F74A8D8"/>
  </w:rsids>
  <m:mathPr>
    <m:mathFont m:val="Cambria Math"/>
    <m:brkBin m:val="before"/>
    <m:brkBinSub m:val="--"/>
    <m:smallFrac m:val="0"/>
    <m:dispDef/>
    <m:lMargin m:val="0"/>
    <m:rMargin m:val="0"/>
    <m:defJc m:val="centerGroup"/>
    <m:wrapIndent m:val="1440"/>
    <m:intLim m:val="subSup"/>
    <m:naryLim m:val="undOvr"/>
  </m:mathPr>
  <w:themeFontLang w:val="en-H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091C"/>
  <w15:chartTrackingRefBased/>
  <w15:docId w15:val="{D3087C9E-8B9B-9F48-A6B9-987721002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5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8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8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8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8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5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8C1"/>
    <w:rPr>
      <w:rFonts w:eastAsiaTheme="majorEastAsia" w:cstheme="majorBidi"/>
      <w:color w:val="272727" w:themeColor="text1" w:themeTint="D8"/>
    </w:rPr>
  </w:style>
  <w:style w:type="paragraph" w:styleId="Title">
    <w:name w:val="Title"/>
    <w:basedOn w:val="Normal"/>
    <w:next w:val="Normal"/>
    <w:link w:val="TitleChar"/>
    <w:uiPriority w:val="10"/>
    <w:qFormat/>
    <w:rsid w:val="004058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8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8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58C1"/>
    <w:rPr>
      <w:i/>
      <w:iCs/>
      <w:color w:val="404040" w:themeColor="text1" w:themeTint="BF"/>
    </w:rPr>
  </w:style>
  <w:style w:type="paragraph" w:styleId="ListParagraph">
    <w:name w:val="List Paragraph"/>
    <w:basedOn w:val="Normal"/>
    <w:uiPriority w:val="34"/>
    <w:qFormat/>
    <w:rsid w:val="004058C1"/>
    <w:pPr>
      <w:ind w:left="720"/>
      <w:contextualSpacing/>
    </w:pPr>
  </w:style>
  <w:style w:type="character" w:styleId="IntenseEmphasis">
    <w:name w:val="Intense Emphasis"/>
    <w:basedOn w:val="DefaultParagraphFont"/>
    <w:uiPriority w:val="21"/>
    <w:qFormat/>
    <w:rsid w:val="004058C1"/>
    <w:rPr>
      <w:i/>
      <w:iCs/>
      <w:color w:val="0F4761" w:themeColor="accent1" w:themeShade="BF"/>
    </w:rPr>
  </w:style>
  <w:style w:type="paragraph" w:styleId="IntenseQuote">
    <w:name w:val="Intense Quote"/>
    <w:basedOn w:val="Normal"/>
    <w:next w:val="Normal"/>
    <w:link w:val="IntenseQuoteChar"/>
    <w:uiPriority w:val="30"/>
    <w:qFormat/>
    <w:rsid w:val="00405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8C1"/>
    <w:rPr>
      <w:i/>
      <w:iCs/>
      <w:color w:val="0F4761" w:themeColor="accent1" w:themeShade="BF"/>
    </w:rPr>
  </w:style>
  <w:style w:type="character" w:styleId="IntenseReference">
    <w:name w:val="Intense Reference"/>
    <w:basedOn w:val="DefaultParagraphFont"/>
    <w:uiPriority w:val="32"/>
    <w:qFormat/>
    <w:rsid w:val="004058C1"/>
    <w:rPr>
      <w:b/>
      <w:bCs/>
      <w:smallCaps/>
      <w:color w:val="0F4761" w:themeColor="accent1" w:themeShade="BF"/>
      <w:spacing w:val="5"/>
    </w:rPr>
  </w:style>
  <w:style w:type="paragraph" w:styleId="TOCHeading">
    <w:name w:val="TOC Heading"/>
    <w:basedOn w:val="Heading1"/>
    <w:next w:val="Normal"/>
    <w:uiPriority w:val="39"/>
    <w:unhideWhenUsed/>
    <w:qFormat/>
    <w:rsid w:val="00BD5365"/>
    <w:pPr>
      <w:spacing w:before="480" w:after="0" w:line="276" w:lineRule="auto"/>
      <w:outlineLvl w:val="9"/>
    </w:pPr>
    <w:rPr>
      <w:b/>
      <w:bCs/>
      <w:sz w:val="28"/>
      <w:szCs w:val="28"/>
    </w:rPr>
  </w:style>
  <w:style w:type="paragraph" w:styleId="TOC1">
    <w:name w:val="toc 1"/>
    <w:basedOn w:val="Normal"/>
    <w:next w:val="Normal"/>
    <w:autoRedefine/>
    <w:uiPriority w:val="39"/>
    <w:unhideWhenUsed/>
    <w:rsid w:val="00BD5365"/>
    <w:pPr>
      <w:spacing w:before="120"/>
    </w:pPr>
    <w:rPr>
      <w:b/>
      <w:bCs/>
      <w:i/>
      <w:iCs/>
    </w:rPr>
  </w:style>
  <w:style w:type="character" w:styleId="Hyperlink">
    <w:name w:val="Hyperlink"/>
    <w:basedOn w:val="DefaultParagraphFont"/>
    <w:uiPriority w:val="99"/>
    <w:unhideWhenUsed/>
    <w:rsid w:val="1CA46CE4"/>
    <w:rPr>
      <w:rFonts w:ascii="Times New Roman" w:hAnsi="Times New Roman" w:cs="Times New Roman"/>
    </w:rPr>
  </w:style>
  <w:style w:type="paragraph" w:styleId="TOC2">
    <w:name w:val="toc 2"/>
    <w:basedOn w:val="Normal"/>
    <w:next w:val="Normal"/>
    <w:autoRedefine/>
    <w:uiPriority w:val="39"/>
    <w:unhideWhenUsed/>
    <w:rsid w:val="00BD5365"/>
    <w:pPr>
      <w:spacing w:before="120"/>
      <w:ind w:left="240"/>
    </w:pPr>
    <w:rPr>
      <w:b/>
      <w:bCs/>
      <w:sz w:val="22"/>
      <w:szCs w:val="22"/>
    </w:rPr>
  </w:style>
  <w:style w:type="paragraph" w:styleId="TOC3">
    <w:name w:val="toc 3"/>
    <w:basedOn w:val="Normal"/>
    <w:next w:val="Normal"/>
    <w:autoRedefine/>
    <w:uiPriority w:val="39"/>
    <w:semiHidden/>
    <w:unhideWhenUsed/>
    <w:rsid w:val="00BD5365"/>
    <w:pPr>
      <w:ind w:left="480"/>
    </w:pPr>
    <w:rPr>
      <w:sz w:val="20"/>
      <w:szCs w:val="20"/>
    </w:rPr>
  </w:style>
  <w:style w:type="paragraph" w:styleId="TOC4">
    <w:name w:val="toc 4"/>
    <w:basedOn w:val="Normal"/>
    <w:next w:val="Normal"/>
    <w:autoRedefine/>
    <w:uiPriority w:val="39"/>
    <w:semiHidden/>
    <w:unhideWhenUsed/>
    <w:rsid w:val="00BD5365"/>
    <w:pPr>
      <w:ind w:left="720"/>
    </w:pPr>
    <w:rPr>
      <w:sz w:val="20"/>
      <w:szCs w:val="20"/>
    </w:rPr>
  </w:style>
  <w:style w:type="paragraph" w:styleId="TOC5">
    <w:name w:val="toc 5"/>
    <w:basedOn w:val="Normal"/>
    <w:next w:val="Normal"/>
    <w:autoRedefine/>
    <w:uiPriority w:val="39"/>
    <w:semiHidden/>
    <w:unhideWhenUsed/>
    <w:rsid w:val="00BD5365"/>
    <w:pPr>
      <w:ind w:left="960"/>
    </w:pPr>
    <w:rPr>
      <w:sz w:val="20"/>
      <w:szCs w:val="20"/>
    </w:rPr>
  </w:style>
  <w:style w:type="paragraph" w:styleId="TOC6">
    <w:name w:val="toc 6"/>
    <w:basedOn w:val="Normal"/>
    <w:next w:val="Normal"/>
    <w:autoRedefine/>
    <w:uiPriority w:val="39"/>
    <w:semiHidden/>
    <w:unhideWhenUsed/>
    <w:rsid w:val="00BD5365"/>
    <w:pPr>
      <w:ind w:left="1200"/>
    </w:pPr>
    <w:rPr>
      <w:sz w:val="20"/>
      <w:szCs w:val="20"/>
    </w:rPr>
  </w:style>
  <w:style w:type="paragraph" w:styleId="TOC7">
    <w:name w:val="toc 7"/>
    <w:basedOn w:val="Normal"/>
    <w:next w:val="Normal"/>
    <w:autoRedefine/>
    <w:uiPriority w:val="39"/>
    <w:semiHidden/>
    <w:unhideWhenUsed/>
    <w:rsid w:val="00BD5365"/>
    <w:pPr>
      <w:ind w:left="1440"/>
    </w:pPr>
    <w:rPr>
      <w:sz w:val="20"/>
      <w:szCs w:val="20"/>
    </w:rPr>
  </w:style>
  <w:style w:type="paragraph" w:styleId="TOC8">
    <w:name w:val="toc 8"/>
    <w:basedOn w:val="Normal"/>
    <w:next w:val="Normal"/>
    <w:autoRedefine/>
    <w:uiPriority w:val="39"/>
    <w:semiHidden/>
    <w:unhideWhenUsed/>
    <w:rsid w:val="00BD5365"/>
    <w:pPr>
      <w:ind w:left="1680"/>
    </w:pPr>
    <w:rPr>
      <w:sz w:val="20"/>
      <w:szCs w:val="20"/>
    </w:rPr>
  </w:style>
  <w:style w:type="paragraph" w:styleId="TOC9">
    <w:name w:val="toc 9"/>
    <w:basedOn w:val="Normal"/>
    <w:next w:val="Normal"/>
    <w:autoRedefine/>
    <w:uiPriority w:val="39"/>
    <w:semiHidden/>
    <w:unhideWhenUsed/>
    <w:rsid w:val="00BD5365"/>
    <w:pPr>
      <w:ind w:left="1920"/>
    </w:pPr>
    <w:rPr>
      <w:sz w:val="20"/>
      <w:szCs w:val="20"/>
    </w:rPr>
  </w:style>
  <w:style w:type="character" w:styleId="UnresolvedMention">
    <w:name w:val="Unresolved Mention"/>
    <w:basedOn w:val="DefaultParagraphFont"/>
    <w:uiPriority w:val="99"/>
    <w:semiHidden/>
    <w:unhideWhenUsed/>
    <w:rsid w:val="00BD5365"/>
    <w:rPr>
      <w:color w:val="605E5C"/>
      <w:shd w:val="clear" w:color="auto" w:fill="E1DFDD"/>
    </w:rPr>
  </w:style>
  <w:style w:type="character" w:styleId="FollowedHyperlink">
    <w:name w:val="FollowedHyperlink"/>
    <w:basedOn w:val="DefaultParagraphFont"/>
    <w:uiPriority w:val="99"/>
    <w:semiHidden/>
    <w:unhideWhenUsed/>
    <w:rsid w:val="00BD5365"/>
    <w:rPr>
      <w:color w:val="96607D" w:themeColor="followedHyperlink"/>
      <w:u w:val="single"/>
    </w:rPr>
  </w:style>
  <w:style w:type="character" w:styleId="CommentReference">
    <w:name w:val="annotation reference"/>
    <w:basedOn w:val="DefaultParagraphFont"/>
    <w:uiPriority w:val="99"/>
    <w:semiHidden/>
    <w:unhideWhenUsed/>
    <w:rsid w:val="007D7256"/>
    <w:rPr>
      <w:sz w:val="16"/>
      <w:szCs w:val="16"/>
    </w:rPr>
  </w:style>
  <w:style w:type="paragraph" w:styleId="CommentText">
    <w:name w:val="annotation text"/>
    <w:basedOn w:val="Normal"/>
    <w:link w:val="CommentTextChar"/>
    <w:uiPriority w:val="99"/>
    <w:semiHidden/>
    <w:unhideWhenUsed/>
    <w:rsid w:val="007D7256"/>
    <w:rPr>
      <w:sz w:val="20"/>
      <w:szCs w:val="20"/>
    </w:rPr>
  </w:style>
  <w:style w:type="character" w:customStyle="1" w:styleId="CommentTextChar">
    <w:name w:val="Comment Text Char"/>
    <w:basedOn w:val="DefaultParagraphFont"/>
    <w:link w:val="CommentText"/>
    <w:uiPriority w:val="99"/>
    <w:semiHidden/>
    <w:rsid w:val="007D7256"/>
    <w:rPr>
      <w:sz w:val="20"/>
      <w:szCs w:val="20"/>
    </w:rPr>
  </w:style>
  <w:style w:type="paragraph" w:styleId="CommentSubject">
    <w:name w:val="annotation subject"/>
    <w:basedOn w:val="CommentText"/>
    <w:next w:val="CommentText"/>
    <w:link w:val="CommentSubjectChar"/>
    <w:uiPriority w:val="99"/>
    <w:semiHidden/>
    <w:unhideWhenUsed/>
    <w:rsid w:val="007D7256"/>
    <w:rPr>
      <w:b/>
      <w:bCs/>
    </w:rPr>
  </w:style>
  <w:style w:type="character" w:customStyle="1" w:styleId="CommentSubjectChar">
    <w:name w:val="Comment Subject Char"/>
    <w:basedOn w:val="CommentTextChar"/>
    <w:link w:val="CommentSubject"/>
    <w:uiPriority w:val="99"/>
    <w:semiHidden/>
    <w:rsid w:val="007D7256"/>
    <w:rPr>
      <w:b/>
      <w:bCs/>
      <w:sz w:val="20"/>
      <w:szCs w:val="20"/>
    </w:rPr>
  </w:style>
  <w:style w:type="paragraph" w:customStyle="1" w:styleId="p1">
    <w:name w:val="p1"/>
    <w:basedOn w:val="Normal"/>
    <w:rsid w:val="00AB3D65"/>
    <w:rPr>
      <w:rFonts w:ascii="Helvetica" w:eastAsia="Times New Roman" w:hAnsi="Helvetica" w:cs="Times New Roman"/>
      <w:color w:val="000000"/>
      <w:sz w:val="17"/>
      <w:szCs w:val="17"/>
      <w:lang w:eastAsia="en-GB"/>
    </w:rPr>
  </w:style>
  <w:style w:type="paragraph" w:styleId="EndnoteText">
    <w:name w:val="endnote text"/>
    <w:basedOn w:val="Normal"/>
    <w:link w:val="EndnoteTextChar"/>
    <w:uiPriority w:val="99"/>
    <w:semiHidden/>
    <w:unhideWhenUsed/>
    <w:rsid w:val="00926392"/>
    <w:rPr>
      <w:sz w:val="20"/>
      <w:szCs w:val="20"/>
    </w:rPr>
  </w:style>
  <w:style w:type="character" w:customStyle="1" w:styleId="EndnoteTextChar">
    <w:name w:val="Endnote Text Char"/>
    <w:basedOn w:val="DefaultParagraphFont"/>
    <w:link w:val="EndnoteText"/>
    <w:uiPriority w:val="99"/>
    <w:semiHidden/>
    <w:rsid w:val="00926392"/>
    <w:rPr>
      <w:sz w:val="20"/>
      <w:szCs w:val="20"/>
    </w:rPr>
  </w:style>
  <w:style w:type="character" w:styleId="EndnoteReference">
    <w:name w:val="endnote reference"/>
    <w:basedOn w:val="DefaultParagraphFont"/>
    <w:uiPriority w:val="99"/>
    <w:semiHidden/>
    <w:unhideWhenUsed/>
    <w:rsid w:val="00926392"/>
    <w:rPr>
      <w:vertAlign w:val="superscript"/>
    </w:rPr>
  </w:style>
  <w:style w:type="paragraph" w:styleId="Header">
    <w:name w:val="header"/>
    <w:basedOn w:val="Normal"/>
    <w:link w:val="HeaderChar"/>
    <w:uiPriority w:val="99"/>
    <w:semiHidden/>
    <w:unhideWhenUsed/>
    <w:rsid w:val="00E25A0D"/>
    <w:pPr>
      <w:tabs>
        <w:tab w:val="center" w:pos="4680"/>
        <w:tab w:val="right" w:pos="9360"/>
      </w:tabs>
    </w:pPr>
  </w:style>
  <w:style w:type="character" w:customStyle="1" w:styleId="HeaderChar">
    <w:name w:val="Header Char"/>
    <w:basedOn w:val="DefaultParagraphFont"/>
    <w:link w:val="Header"/>
    <w:uiPriority w:val="99"/>
    <w:semiHidden/>
    <w:rsid w:val="00E25A0D"/>
  </w:style>
  <w:style w:type="paragraph" w:styleId="Footer">
    <w:name w:val="footer"/>
    <w:basedOn w:val="Normal"/>
    <w:link w:val="FooterChar"/>
    <w:uiPriority w:val="99"/>
    <w:unhideWhenUsed/>
    <w:rsid w:val="00E25A0D"/>
    <w:pPr>
      <w:tabs>
        <w:tab w:val="center" w:pos="4680"/>
        <w:tab w:val="right" w:pos="9360"/>
      </w:tabs>
    </w:pPr>
  </w:style>
  <w:style w:type="character" w:customStyle="1" w:styleId="FooterChar">
    <w:name w:val="Footer Char"/>
    <w:basedOn w:val="DefaultParagraphFont"/>
    <w:link w:val="Footer"/>
    <w:uiPriority w:val="99"/>
    <w:rsid w:val="00E25A0D"/>
  </w:style>
  <w:style w:type="paragraph" w:styleId="Revision">
    <w:name w:val="Revision"/>
    <w:hidden/>
    <w:uiPriority w:val="99"/>
    <w:semiHidden/>
    <w:rsid w:val="00FC1003"/>
  </w:style>
  <w:style w:type="character" w:customStyle="1" w:styleId="apple-converted-space">
    <w:name w:val="apple-converted-space"/>
    <w:basedOn w:val="DefaultParagraphFont"/>
    <w:rsid w:val="00F435B2"/>
  </w:style>
  <w:style w:type="character" w:styleId="Emphasis">
    <w:name w:val="Emphasis"/>
    <w:basedOn w:val="DefaultParagraphFont"/>
    <w:uiPriority w:val="20"/>
    <w:qFormat/>
    <w:rsid w:val="00F435B2"/>
    <w:rPr>
      <w:i/>
      <w:iCs/>
    </w:rPr>
  </w:style>
  <w:style w:type="table" w:styleId="TableGrid">
    <w:name w:val="Table Grid"/>
    <w:basedOn w:val="TableNormal"/>
    <w:uiPriority w:val="39"/>
    <w:rsid w:val="00281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2447C"/>
  </w:style>
  <w:style w:type="character" w:styleId="LineNumber">
    <w:name w:val="line number"/>
    <w:basedOn w:val="DefaultParagraphFont"/>
    <w:uiPriority w:val="99"/>
    <w:semiHidden/>
    <w:unhideWhenUsed/>
    <w:rsid w:val="00E36E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5196/RS140102" TargetMode="External"/><Relationship Id="rId39" Type="http://schemas.openxmlformats.org/officeDocument/2006/relationships/hyperlink" Target="https://esg.tsmc.com/file/public/2024-TSMC-%09Climate-and-Nature-Report-e.pdf" TargetMode="External"/><Relationship Id="rId21" Type="http://schemas.openxmlformats.org/officeDocument/2006/relationships/hyperlink" Target="https://doi.org/10.1257/aer.91.2.219" TargetMode="External"/><Relationship Id="rId34" Type="http://schemas.openxmlformats.org/officeDocument/2006/relationships/hyperlink" Target="https://doi.org/10.1016/j.ijpe.2010.04.003" TargetMode="External"/><Relationship Id="rId42" Type="http://schemas.openxmlformats.org/officeDocument/2006/relationships/hyperlink" Target="https://www.rvo.nl/"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80/00207543.2020.17905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cb.europa.eu/pub/html/index.en.html" TargetMode="External"/><Relationship Id="rId32" Type="http://schemas.openxmlformats.org/officeDocument/2006/relationships/hyperlink" Target="https://www.reuters.com/" TargetMode="External"/><Relationship Id="rId37" Type="http://schemas.openxmlformats.org/officeDocument/2006/relationships/hyperlink" Target="https://investor.tsmc.com/sites/ir/financial-%09report/2023/TSMC%202023Q4%20Consolidated%20Financial%20Statements_E.pdf" TargetMode="External"/><Relationship Id="rId40" Type="http://schemas.openxmlformats.org/officeDocument/2006/relationships/hyperlink" Target="https://investor.tsmc.com/"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ng.stat.gov.tw/ct.asp?xItem=37408&amp;ctNode=5347&amp;mp=5" TargetMode="External"/><Relationship Id="rId28" Type="http://schemas.openxmlformats.org/officeDocument/2006/relationships/hyperlink" Target="https://www.investing.com/currencies/usd-twd-historical-%09data" TargetMode="External"/><Relationship Id="rId36" Type="http://schemas.openxmlformats.org/officeDocument/2006/relationships/hyperlink" Target="https://esg.tsmc.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111/j.1540-6261.1993.tb04709.x" TargetMode="External"/><Relationship Id="rId44" Type="http://schemas.openxmlformats.org/officeDocument/2006/relationships/hyperlink" Target="https://github.com/matthiasvem/Project-Financial-Instruments-Paper.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deloitte.com/" TargetMode="External"/><Relationship Id="rId27" Type="http://schemas.openxmlformats.org/officeDocument/2006/relationships/hyperlink" Target="https://doi.org/10.1108/DPRG-12-2023-0184" TargetMode="External"/><Relationship Id="rId30" Type="http://schemas.openxmlformats.org/officeDocument/2006/relationships/hyperlink" Target="https://doi.org/10.1016/j.telpol.2025.102951" TargetMode="External"/><Relationship Id="rId35" Type="http://schemas.openxmlformats.org/officeDocument/2006/relationships/hyperlink" Target="https://investor.tsmc.com/sites/ir/financial-%09report/2021/TSMC%202021Q4%20Consolidated%20Financial%20Statements_E.pdf" TargetMode="External"/><Relationship Id="rId43" Type="http://schemas.openxmlformats.org/officeDocument/2006/relationships/hyperlink" Target="https://doi.org/10.1016/j.watcyc.2023.01.004"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86/s40008-023-00307-w" TargetMode="External"/><Relationship Id="rId33" Type="http://schemas.openxmlformats.org/officeDocument/2006/relationships/hyperlink" Target="https://doi.org/10.2307/2330757" TargetMode="External"/><Relationship Id="rId38" Type="http://schemas.openxmlformats.org/officeDocument/2006/relationships/hyperlink" Target="https://investor.tsmc.com/static/annualReports/2024/english/ebook/index.html" TargetMode="External"/><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hyperlink" Target="https://investor.tsmc.com/sites/ir/financial-%09report/2025/TSMC%202025Q4%20Consolidated%20Financial%20Statements_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03FD1-64BD-7D47-98F9-64DDD1ED0077}">
  <ds:schemaRefs>
    <ds:schemaRef ds:uri="http://schemas.openxmlformats.org/officeDocument/2006/bibliography"/>
  </ds:schemaRefs>
</ds:datastoreItem>
</file>

<file path=docMetadata/LabelInfo.xml><?xml version="1.0" encoding="utf-8"?>
<clbl:labelList xmlns:clbl="http://schemas.microsoft.com/office/2020/mipLabelMetadata">
  <clbl:label id="{084578d9-400d-4a5a-a7c7-e76ca47af400}" enabled="0" method="" siteId="{084578d9-400d-4a5a-a7c7-e76ca47af40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23</Pages>
  <Words>7176</Words>
  <Characters>40908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Varga-Etele, M. (Matyas)</dc:creator>
  <cp:keywords/>
  <dc:description/>
  <cp:lastModifiedBy>Varga-Etele, M. (Matyas)</cp:lastModifiedBy>
  <cp:revision>3</cp:revision>
  <cp:lastPrinted>2026-05-25T10:18:00Z</cp:lastPrinted>
  <dcterms:created xsi:type="dcterms:W3CDTF">2026-05-25T10:18:00Z</dcterms:created>
  <dcterms:modified xsi:type="dcterms:W3CDTF">2026-05-25T10:18:00Z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e3525f44d0c5d459bfc5edee5bd1c414271856a6d601acf936b97f0d5f2ee8c7</vt:lpwstr>
  </property>
</Properties>
</file>