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Dossier de candidature — AMI « IA stockage, dispensation &amp; administration du médicament »</w:t>
      </w:r>
    </w:p>
    <w:p>
      <w:pPr>
        <w:spacing w:after="240"/>
        <w:jc w:val="center"/>
      </w:pPr>
      <w:r>
        <w:rPr>
          <w:i/>
          <w:iCs/>
          <w:sz w:val="22"/>
          <w:szCs w:val="22"/>
        </w:rPr>
        <w:t xml:space="preserve">Partie 1 pré-remplie — Centre Hospitalier de Cahors (Jean Rougier) · Solution e-Harvis · DrugOptimal SAS · 2 juillet 2026</w:t>
      </w:r>
    </w:p>
    <w:p>
      <w:pPr>
        <w:spacing w:after="120"/>
      </w:pPr>
      <w:r>
        <w:rPr>
          <w:b w:val="false"/>
          <w:bCs w:val="false"/>
          <w:i/>
          <w:iCs/>
        </w:rPr>
        <w:t xml:space="preserve">Fiabilité des valeurs : [S] sourcé (donnée publique) · [D] dérivé d'un calcul sur du sourcé · [E] estimation éditeur — à valider par l'établissement. Référence : note d'information DGOS/NUM/2026/75 du 8 juin 2026.</w:t>
      </w:r>
    </w:p>
    <w:p>
      <w:pPr>
        <w:pStyle w:val="Heading1"/>
      </w:pPr>
      <w:r>
        <w:t xml:space="preserve">Bloc 1 — Identification et description de l'établissement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FINESS ET (géographique)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460000110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 de l'établissement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CENTRE HOSPITALIER JEAN ROUGIER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FINESS EJ (juridique)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460780216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Adresse de l'établissement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52, place Bergon — BP 50269 — 46005 Cahors cedex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Secteur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Public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Type d'établissement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CH — établissement support du GHT du Lot [S]</w:t>
            </w:r>
          </w:p>
        </w:tc>
      </w:tr>
    </w:tbl>
    <w:p>
      <w:pPr>
        <w:pStyle w:val="Heading1"/>
      </w:pPr>
      <w:r>
        <w:t xml:space="preserve">Bloc 2 — Site(s) concerné(s) par le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FINESS géographique du site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460000110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Adresse du site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52, place Bergon — 46005 Cahors (site unique MCO ; l'IFMS, second établissement de l'entité juridique, est hors périmètre) [S]</w:t>
            </w:r>
          </w:p>
        </w:tc>
      </w:tr>
    </w:tbl>
    <w:p>
      <w:pPr>
        <w:pStyle w:val="Heading1"/>
      </w:pPr>
      <w:r>
        <w:t xml:space="preserve">Bloc 3 — Personne en charge du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 / Prénom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DURAND Fanny (proposition : cheffe de service de la PUI) [S] — à confirmer par l'établissement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Qualité</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Pharmacien, cheffe de service PUI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Adresse mail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À compléter par l'établissement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Téléphone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05 65 20 50 48 (secrétariat PUI) [S]</w:t>
            </w:r>
          </w:p>
        </w:tc>
      </w:tr>
    </w:tbl>
    <w:p>
      <w:pPr>
        <w:pStyle w:val="Heading1"/>
      </w:pPr>
      <w:r>
        <w:t xml:space="preserve">Bloc 4 — 1.1 Descriptif de l'organisation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pôles cliniques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4 [S] (Médecine ; Chirurgie ; Mère-Enfant ; Urgence et Réanimation) + 1 pôle logistique médicale et médico-technique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services médico-techniques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5 [D] (Imagerie médicale ; Pharmacie-Stérilisation ; Laboratoire ; DIM ; EOH)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services médicaux</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19 [D] (15 services du pôle Médecine ; Réanimation ; SAMU-SMUR ; Médecine d'urgence ; Pédiatrie-Néonatologie)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services chirurgicaux</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3 [D] (Chirurgie orthopédique-traumatologie ; Chirurgie viscérale et urologique ; Anesthésiologie)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services obstétricaux</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 [D] (Gynécologie-Obstétrique)</w:t>
            </w:r>
          </w:p>
        </w:tc>
      </w:tr>
    </w:tbl>
    <w:p>
      <w:pPr>
        <w:spacing w:after="120"/>
      </w:pPr>
      <w:r>
        <w:rPr>
          <w:b w:val="false"/>
          <w:bCs w:val="false"/>
          <w:i/>
          <w:iCs/>
        </w:rPr>
        <w:t xml:space="preserve">Décompte dérivé de la fiche FHF (avril 2026). Convention retenue : la Pédiatrie-Néonatologie est classée en service médical ; l'Anesthésiologie en service chirurgical.</w:t>
      </w:r>
    </w:p>
    <w:p>
      <w:pPr>
        <w:pStyle w:val="Heading1"/>
      </w:pPr>
      <w:r>
        <w:t xml:space="preserve">Bloc 5 — Pôles (ETP moyens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c>
          <w:tcPr>
            <w:tcW w:type="dxa" w:w="3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i w:val="false"/>
                <w:iCs w:val="false"/>
              </w:rPr>
              <w:t xml:space="preserve">Pôle</w:t>
            </w:r>
          </w:p>
        </w:tc>
        <w:tc>
          <w:tcPr>
            <w:tcW w:type="dxa" w:w="1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i w:val="false"/>
                <w:iCs w:val="false"/>
              </w:rPr>
              <w:t xml:space="preserve">Effectifs médicaux (ETP)</w:t>
            </w:r>
          </w:p>
        </w:tc>
        <w:tc>
          <w:tcPr>
            <w:tcW w:type="dxa" w:w="1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i w:val="false"/>
                <w:iCs w:val="false"/>
              </w:rPr>
              <w:t xml:space="preserve">Effectifs paramédicaux (ETP)</w:t>
            </w:r>
          </w:p>
        </w:tc>
        <w:tc>
          <w:tcPr>
            <w:tcW w:type="dxa" w:w="1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i w:val="false"/>
                <w:iCs w:val="false"/>
              </w:rPr>
              <w:t xml:space="preserve">Effectifs non-médicaux / support (ETP)</w:t>
            </w:r>
          </w:p>
        </w:tc>
        <w:tc>
          <w:tcPr>
            <w:tcW w:type="dxa" w:w="1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i w:val="false"/>
                <w:iCs w:val="false"/>
              </w:rPr>
              <w:t xml:space="preserve">Total (ETP)</w:t>
            </w:r>
          </w:p>
        </w:tc>
      </w:tr>
      <w:tr>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Pôle Médecine (dont USLD, SMR, HAD)</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34</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330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26</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390</w:t>
            </w:r>
          </w:p>
        </w:tc>
      </w:tr>
      <w:tr>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Pôle Chirurgie (dont bloc opératoire, 9 salles)</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20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135</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165</w:t>
            </w:r>
          </w:p>
        </w:tc>
      </w:tr>
      <w:tr>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Pôle Mère-Enfant</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12</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82</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6</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100</w:t>
            </w:r>
          </w:p>
        </w:tc>
      </w:tr>
      <w:tr>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Pôle Urgence et Réanimation</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21</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112</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7</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140</w:t>
            </w:r>
          </w:p>
        </w:tc>
      </w:tr>
      <w:tr>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Pôle Logistique médicale et médico-technique</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8</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130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22</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160</w:t>
            </w:r>
          </w:p>
        </w:tc>
      </w:tr>
      <w:tr>
        <w:tc>
          <w:tcPr>
            <w:tcW w:type="dxa" w:w="3226"/>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i w:val="false"/>
                <w:iCs w:val="false"/>
              </w:rPr>
              <w:t xml:space="preserve">Total pôles [E]</w:t>
            </w:r>
          </w:p>
        </w:tc>
        <w:tc>
          <w:tcPr>
            <w:tcW w:type="dxa" w:w="145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i w:val="false"/>
                <w:iCs w:val="false"/>
              </w:rPr>
              <w:t xml:space="preserve">95</w:t>
            </w:r>
          </w:p>
        </w:tc>
        <w:tc>
          <w:tcPr>
            <w:tcW w:type="dxa" w:w="145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i w:val="false"/>
                <w:iCs w:val="false"/>
              </w:rPr>
              <w:t xml:space="preserve">789</w:t>
            </w:r>
          </w:p>
        </w:tc>
        <w:tc>
          <w:tcPr>
            <w:tcW w:type="dxa" w:w="145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i w:val="false"/>
                <w:iCs w:val="false"/>
              </w:rPr>
              <w:t xml:space="preserve">71</w:t>
            </w:r>
          </w:p>
        </w:tc>
        <w:tc>
          <w:tcPr>
            <w:tcW w:type="dxa" w:w="145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i w:val="false"/>
                <w:iCs w:val="false"/>
              </w:rPr>
              <w:t xml:space="preserve">955</w:t>
            </w:r>
          </w:p>
        </w:tc>
      </w:tr>
    </w:tbl>
    <w:p>
      <w:pPr>
        <w:spacing w:after="120"/>
      </w:pPr>
      <w:r>
        <w:rPr>
          <w:b w:val="false"/>
          <w:bCs w:val="false"/>
          <w:i/>
          <w:iCs/>
        </w:rPr>
        <w:t xml:space="preserve">Ventilation estimée [E] à partir de l'effectif global (~1 200 agents ≈ 1 125 ETP) et des ratios paramédicaux par lit (réanimation ~2,5-3 ETP/lit ; MCO ~1,0 ; USLD ~0,6). Le « paramédical » du pôle Logistique correspond aux personnels médico-techniques (préparateurs, manipulateurs, techniciens de laboratoire). S'ajoutent ~170 ETP de fonctions support centrales hors pôles. Seule la DRH détient la ventilation réelle par UF — estimation éditeur, à valider par l'établissement.</w:t>
      </w:r>
    </w:p>
    <w:p>
      <w:pPr>
        <w:pStyle w:val="Heading1"/>
      </w:pPr>
      <w:r>
        <w:t xml:space="preserve">Bloc 6 — 1.2 Descriptif de l'activité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Effectifs non-médicaux de l'établissement (ETP)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1030 [E]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Dont effectifs des pôles cliniques et médico-techniques (ETP moyens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815 [E]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Dont effectifs des fonctions support (ETP moyens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170 [E]</w:t>
            </w:r>
          </w:p>
        </w:tc>
      </w:tr>
    </w:tbl>
    <w:p>
      <w:pPr>
        <w:spacing w:after="120"/>
      </w:pPr>
      <w:r>
        <w:rPr>
          <w:b w:val="false"/>
          <w:bCs w:val="false"/>
          <w:i/>
          <w:iCs/>
        </w:rPr>
        <w:t xml:space="preserve">Contrôle de cohérence : 815 + 170 + 45 (personnel non médical du médico-social, USLD 60 lits — non demandé par le formulaire) = 1 030. Les deux « dont » ne s'additionnent pas au total : le résidu correspond au médico-social. Fonctions support ≈ 16,5 % du non-médical (repère 15-18 % respecté). Estimations éditeur — à valider par la DRH.</w:t>
      </w:r>
    </w:p>
    <w:p>
      <w:pPr>
        <w:pStyle w:val="Heading1"/>
      </w:pPr>
      <w:r>
        <w:t xml:space="preserve">Bloc 7 — 1.3 Unités concernées par le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Périmètre retenu</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MCO conventionnel 277 lits (médecine 180, chirurgie 70, obstétrique 27) [S] + soins critiques 12 lits (réanimation 8, USC 4) [S] + bloc opératoire (9 salles) + PUI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Effectifs des unités concernées (ETP)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665 [E] (médical ~75 ; non-médical ~590)</w:t>
            </w:r>
          </w:p>
        </w:tc>
      </w:tr>
    </w:tbl>
    <w:p>
      <w:pPr>
        <w:pStyle w:val="Heading2"/>
      </w:pPr>
      <w:r>
        <w:t xml:space="preserve">Maquette organisationnelle préexistante</w:t>
      </w:r>
    </w:p>
    <w:p>
      <w:pPr>
        <w:spacing w:after="120"/>
      </w:pPr>
      <w:r>
        <w:rPr>
          <w:b w:val="false"/>
          <w:bCs w:val="false"/>
          <w:i w:val="false"/>
          <w:iCs w:val="false"/>
        </w:rPr>
        <w:t xml:space="preserve">Les unités du périmètre fonctionnent en continuité 24h/24, 7j/7. Les effectifs paramédicaux des soins critiques respectent les ratios réglementaires issus des décrets soins critiques de 2022 (1 IDE pour 2,5 patients en réanimation ; 1 IDE pour 4 patients en surveillance continue). Les unités MCO conventionnelles fonctionnent selon une maquette jour/nuit avec binôme IDE/aide-soignant. La maquette détaillée par unité (tableau des effectifs par UF) est détenue par la DRH et sera annexée après validation.</w:t>
      </w:r>
    </w:p>
    <w:p>
      <w:pPr>
        <w:pStyle w:val="Heading2"/>
      </w:pPr>
      <w:r>
        <w:t xml:space="preserve">Si service logistique ou pharmacie — descriptif de l'activité 2025 de la PUI</w:t>
      </w:r>
    </w:p>
    <w:p>
      <w:pPr>
        <w:spacing w:after="120"/>
      </w:pPr>
      <w:r>
        <w:rPr>
          <w:b w:val="false"/>
          <w:bCs w:val="false"/>
          <w:i w:val="false"/>
          <w:iCs w:val="false"/>
        </w:rPr>
        <w:t xml:space="preserve">La PUI, rattachée au pôle Logistique médicale et médico-technique, s'articule autour de quatre secteurs : achats-approvisionnement-stockage (près de 3 000 références de médicaments et dispositifs médicaux) ; dispensation et délivrance sur l'ensemble de l'établissement ; pharmacotechnie (reconstitution journalière des anticancéreux et biothérapies prêts à l'administration) ; stérilisation des dispositifs médicaux réutilisables. L'équipe compte 5 pharmaciens (Dr Fanny Durand, cheffe de service) et un cadre de santé. La totalité des prescriptions informatisées fait l'objet d'une analyse et d'une validation pharmaceutiques, plaçant la PUI au cœur de la sécurisation du circuit du médicament.</w:t>
      </w:r>
    </w:p>
    <w:p>
      <w:pPr>
        <w:spacing w:after="120"/>
      </w:pPr>
      <w:r>
        <w:rPr>
          <w:b w:val="false"/>
          <w:bCs w:val="false"/>
          <w:i w:val="false"/>
          <w:iCs w:val="false"/>
        </w:rPr>
        <w:t xml:space="preserve">Le déploiement d'e-Harvis s'inscrit dans cette mission : détection des incompatibilités physico-chimiques (IPC) lors de l'administration intraveineuse, en appui de l'analyse pharmaceutique et des équipes de soins critiques et de MCO. Les volumes 2025 (préparations de chimiothérapie, lignes dispensées, rétrocessions) sont à confirmer par la cheffe de PUI.</w:t>
      </w:r>
    </w:p>
    <w:p>
      <w:pPr>
        <w:pStyle w:val="Heading1"/>
      </w:pPr>
      <w:r>
        <w:t xml:space="preserve">Bloc 8 — Si service médical, chirurgical ou obstétrical (cas d'usage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lits installés (début d'expérimentation)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289 [D] (277 MCO conventionnel + 12 soins critiques)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Nombre de lits actifs en moyenne sur un an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275 [E]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Taux d'occupation moyen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0.85 [E — à confirmer par le DIM]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DMS moyenne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5.8 [E — à confirmer par le DIM]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rPr>
              <w:t xml:space="preserve">IPDMS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1.0 [E — à confirmer par le DIM]</w:t>
            </w:r>
          </w:p>
        </w:tc>
      </w:tr>
    </w:tbl>
    <w:p>
      <w:pPr>
        <w:spacing w:after="120"/>
      </w:pPr>
      <w:r>
        <w:rPr>
          <w:b w:val="false"/>
          <w:bCs w:val="false"/>
          <w:i/>
          <w:iCs/>
        </w:rPr>
        <w:t xml:space="preserve">Point de vigilance : une ouverture d'USIC est envisagée en 2026. Si elle est effective au démarrage de l'expérimentation, ajuster le nombre de lits de soins critiques (Bloc 8) et la licence e-Harvis en conséquence.</w:t>
      </w:r>
    </w:p>
    <w:p>
      <w:pPr>
        <w:pStyle w:val="Heading1"/>
      </w:pPr>
      <w:r>
        <w:t xml:space="preserve">Questionnaire de validation (champs non publics)</w:t>
      </w:r>
    </w:p>
    <w:p>
      <w:pPr>
        <w:spacing w:after="120"/>
      </w:pPr>
      <w:r>
        <w:rPr>
          <w:b/>
          <w:bCs/>
          <w:i w:val="false"/>
          <w:iCs w:val="false"/>
        </w:rPr>
        <w:t xml:space="preserve">À adresser aux interlocuteurs suivants avant dépôt :</w:t>
      </w:r>
    </w:p>
    <w:p>
      <w:pPr>
        <w:pStyle w:val="ListParagraph"/>
        <w:numPr>
          <w:ilvl w:val="0"/>
          <w:numId w:val="2"/>
        </w:numPr>
      </w:pPr>
      <w:r>
        <w:t xml:space="preserve">DRH : ventilation des ETP par pôle (tableau des effectifs par UF) ; effectifs non-médicaux totaux, pôles cliniques/médico-techniques et fonctions support ; effectifs IDE par unité du périmètre et maquettes.</w:t>
      </w:r>
    </w:p>
    <w:p>
      <w:pPr>
        <w:pStyle w:val="ListParagraph"/>
        <w:numPr>
          <w:ilvl w:val="0"/>
          <w:numId w:val="2"/>
        </w:numPr>
      </w:pPr>
      <w:r>
        <w:t xml:space="preserve">DIM : taux d'occupation, DMS et IPDMS 2025 du périmètre MCO ; lits actifs moyens 2025.</w:t>
      </w:r>
    </w:p>
    <w:p>
      <w:pPr>
        <w:pStyle w:val="ListParagraph"/>
        <w:numPr>
          <w:ilvl w:val="0"/>
          <w:numId w:val="2"/>
        </w:numPr>
      </w:pPr>
      <w:r>
        <w:t xml:space="preserve">Cadre de réanimation : confirmation des capacités soins critiques (réa 8, USC 4) et calendrier USIC.</w:t>
      </w:r>
    </w:p>
    <w:p>
      <w:pPr>
        <w:pStyle w:val="ListParagraph"/>
        <w:numPr>
          <w:ilvl w:val="0"/>
          <w:numId w:val="2"/>
        </w:numPr>
      </w:pPr>
      <w:r>
        <w:t xml:space="preserve">Cheffe de PUI (Dr Durand) : volumes 2025 (chimiothérapies, lignes dispensées, rétrocessions) ; coordonnées du contact dossier (Bloc 3).</w:t>
      </w:r>
    </w:p>
    <w:p>
      <w:pPr>
        <w:pStyle w:val="ListParagraph"/>
        <w:numPr>
          <w:ilvl w:val="0"/>
          <w:numId w:val="2"/>
        </w:numPr>
      </w:pPr>
      <w:r>
        <w:t xml:space="preserve">DSI : nom du référent projet pour le cofinancement (annexe financière).</w:t>
      </w:r>
    </w:p>
    <w:p>
      <w:pPr>
        <w:pStyle w:val="Heading1"/>
      </w:pPr>
      <w:r>
        <w:t xml:space="preserve">Sources</w:t>
      </w:r>
    </w:p>
    <w:p>
      <w:pPr>
        <w:pStyle w:val="ListParagraph"/>
        <w:numPr>
          <w:ilvl w:val="0"/>
          <w:numId w:val="2"/>
        </w:numPr>
      </w:pPr>
      <w:r>
        <w:t xml:space="preserve">Fiche FHF — Centre Hospitalier de Cahors (structure, capacité, pôles, direction, FINESS) : etablissements.fhf.fr/annuaire/structure/structure1153 (mise à jour 21/04/2026)</w:t>
      </w:r>
    </w:p>
    <w:p>
      <w:pPr>
        <w:pStyle w:val="ListParagraph"/>
        <w:numPr>
          <w:ilvl w:val="0"/>
          <w:numId w:val="2"/>
        </w:numPr>
      </w:pPr>
      <w:r>
        <w:t xml:space="preserve">GHT du Lot — page PUI du CH de Cahors : ght-lot.fr/cahors/pharmacie-a-usage-interieur-pui</w:t>
      </w:r>
    </w:p>
    <w:p>
      <w:pPr>
        <w:pStyle w:val="ListParagraph"/>
        <w:numPr>
          <w:ilvl w:val="0"/>
          <w:numId w:val="2"/>
        </w:numPr>
      </w:pPr>
      <w:r>
        <w:t xml:space="preserve">GHT du Lot — page Réanimation polyvalente / surveillance continue : ch-cahors.fr/activites-medicales/reanimation</w:t>
      </w:r>
    </w:p>
    <w:p>
      <w:pPr>
        <w:pStyle w:val="ListParagraph"/>
        <w:numPr>
          <w:ilvl w:val="0"/>
          <w:numId w:val="2"/>
        </w:numPr>
      </w:pPr>
      <w:r>
        <w:t xml:space="preserve">Annuaire des entreprises / hopital.fr — CENTRE HOSPITALIER JEAN ROUGIER (SIREN 264 600 016, tranche 1 000-1 999 salariés)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2026-07-02T10:18:38.668Z</dcterms:created>
  <dcterms:modified xsi:type="dcterms:W3CDTF">2026-07-02T10:18:38.669Z</dcterms:modified>
</cp:coreProperties>
</file>

<file path=docProps/custom.xml><?xml version="1.0" encoding="utf-8"?>
<Properties xmlns="http://schemas.openxmlformats.org/officeDocument/2006/custom-properties" xmlns:vt="http://schemas.openxmlformats.org/officeDocument/2006/docPropsVTypes"/>
</file>