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EA47" w14:textId="77777777" w:rsidR="00710B89" w:rsidRPr="009F7A71" w:rsidRDefault="00000000" w:rsidP="009F7A71">
      <w:pPr>
        <w:pStyle w:val="Abstract"/>
        <w:rPr>
          <w:rFonts w:ascii="Arial" w:hAnsi="Arial" w:cs="Arial"/>
          <w:sz w:val="24"/>
          <w:szCs w:val="24"/>
        </w:rPr>
      </w:pPr>
      <w:bookmarkStart w:id="0" w:name="X34800917130a57405f95fd76ab110b629254967"/>
      <w:r w:rsidRPr="009F7A71">
        <w:rPr>
          <w:rFonts w:ascii="Arial" w:hAnsi="Arial" w:cs="Arial"/>
          <w:sz w:val="24"/>
          <w:szCs w:val="24"/>
        </w:rPr>
        <w:t>Decomposition of V1 variance into shared and private subspaces</w:t>
      </w:r>
    </w:p>
    <w:p w14:paraId="0A468B79" w14:textId="77777777" w:rsidR="00710B89" w:rsidRDefault="00000000">
      <w:pPr>
        <w:pStyle w:val="FirstParagraph"/>
      </w:pPr>
      <w:r>
        <w:t xml:space="preserve">To test whether labeled projection neurons express a disproportionate fraction of V1→PM communication-channel variance, we decomposed V1 population activity into a </w:t>
      </w:r>
      <w:r>
        <w:rPr>
          <w:i/>
          <w:iCs/>
        </w:rPr>
        <w:t>shared</w:t>
      </w:r>
      <w:r>
        <w:t xml:space="preserve"> subspace (dimensions predictive of PM) and a </w:t>
      </w:r>
      <w:r>
        <w:rPr>
          <w:i/>
          <w:iCs/>
        </w:rPr>
        <w:t>private</w:t>
      </w:r>
      <w:r>
        <w:t xml:space="preserve"> subspace (dimensions predictive of other V1 neurons but not of PM</w:t>
      </w:r>
      <w:proofErr w:type="gramStart"/>
      <w:r>
        <w:t>), and</w:t>
      </w:r>
      <w:proofErr w:type="gramEnd"/>
      <w:r>
        <w:t xml:space="preserve"> quantified each neuron’s alignment with both.</w:t>
      </w:r>
    </w:p>
    <w:p w14:paraId="4F616717" w14:textId="77777777" w:rsidR="00710B89" w:rsidRDefault="00000000">
      <w:pPr>
        <w:pStyle w:val="BodyText"/>
      </w:pPr>
      <w:r>
        <w:rPr>
          <w:b/>
          <w:bCs/>
        </w:rPr>
        <w:t>Subspace definition.</w:t>
      </w:r>
      <w:r>
        <w:t xml:space="preserve"> For each session and stimulus orientation, we drew four non-overlapping V1 subpopulations (</w:t>
      </w:r>
      <w:r>
        <w:rPr>
          <w:i/>
          <w:iCs/>
        </w:rPr>
        <w:t>N</w:t>
      </w:r>
      <w:r>
        <w:t xml:space="preserve"> = 20 each): two unlabeled samples (X1, X2) to define subspaces, a held-out unlabeled sample (X3), and a labeled-neuron sample (X4), plus an unlabeled PM sample (Y). Subspaces were defined from X1 and X2 exclusively, keeping X3 and X4 as unbiased test populations.</w:t>
      </w:r>
    </w:p>
    <w:p w14:paraId="66BCB7CB" w14:textId="77777777" w:rsidR="00710B89" w:rsidRDefault="00000000">
      <w:pPr>
        <w:pStyle w:val="BodyText"/>
      </w:pPr>
      <w:r>
        <w:t xml:space="preserve">The shared subspace was identified by RRR from X1 to Y.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shared</m:t>
            </m:r>
          </m:sub>
        </m:sSub>
      </m:oMath>
      <w:r>
        <w:t xml:space="preserve"> leading left singular vectors of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m:rPr>
                <m:nor/>
              </m:rPr>
              <m:t>shared</m:t>
            </m:r>
          </m:sub>
        </m:sSub>
      </m:oMath>
      <w:r>
        <w:t xml:space="preserve"> form an orthonormal basis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share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nor/>
                  </m:rPr>
                  <m:t>share</m:t>
                </m:r>
              </m:sub>
            </m:sSub>
          </m:sup>
        </m:sSup>
      </m:oMath>
      <w:r>
        <w:t xml:space="preserve"> in trial-time space (</w:t>
      </w:r>
      <m:oMath>
        <m:r>
          <w:rPr>
            <w:rFonts w:ascii="Cambria Math" w:hAnsi="Cambria Math"/>
          </w:rPr>
          <m:t>T</m:t>
        </m:r>
      </m:oMath>
      <w:r>
        <w:t xml:space="preserve"> = trials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time bins).</w:t>
      </w:r>
    </w:p>
    <w:p w14:paraId="70E3C9CC" w14:textId="77777777" w:rsidR="00710B89" w:rsidRDefault="00000000">
      <w:pPr>
        <w:pStyle w:val="BodyText"/>
      </w:pPr>
      <w:r>
        <w:t xml:space="preserve">The private subspace was identified by RRR from X1 to X2.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private</m:t>
            </m:r>
          </m:sub>
        </m:sSub>
      </m:oMath>
      <w:r>
        <w:t xml:space="preserve"> leading left singular vectors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were orthogonalized against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share</m:t>
            </m:r>
          </m:sub>
        </m:sSub>
      </m:oMath>
      <w:r>
        <w:t xml:space="preserve"> (shared component removed, followed by QR re-orthonormalization), yielding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priv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nor/>
                  </m:rPr>
                  <m:t>private</m:t>
                </m:r>
              </m:sub>
            </m:sSub>
          </m:sup>
        </m:sSup>
      </m:oMath>
      <w:r>
        <w:t xml:space="preserve"> spanning only within-V1 predictive variance absent from the shared channel. Ranks were determined from the cross-validated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elbow on full (non-subsampled) populations; sessions were excluded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private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shared</m:t>
            </m:r>
          </m:sub>
        </m:sSub>
      </m:oMath>
      <w:r>
        <w:t>.</w:t>
      </w:r>
    </w:p>
    <w:p w14:paraId="6DC19C41" w14:textId="77777777" w:rsidR="00710B89" w:rsidRDefault="00000000">
      <w:pPr>
        <w:pStyle w:val="BodyText"/>
      </w:pPr>
      <w:r>
        <w:rPr>
          <w:b/>
          <w:bCs/>
        </w:rPr>
        <w:t>Per-neuron alignment.</w:t>
      </w:r>
      <w:r>
        <w:t xml:space="preserve"> For each held-out neuron </w:t>
      </w:r>
      <m:oMath>
        <m:r>
          <w:rPr>
            <w:rFonts w:ascii="Cambria Math" w:hAnsi="Cambria Math"/>
          </w:rPr>
          <m:t>n</m:t>
        </m:r>
      </m:oMath>
      <w:r>
        <w:t xml:space="preserve"> with z-scored activity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, we computed the fraction of variance aligned with each subspace:</w:t>
      </w:r>
    </w:p>
    <w:p w14:paraId="37946146" w14:textId="77777777" w:rsidR="00710B8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share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priv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264976A" w14:textId="77777777" w:rsidR="00710B89" w:rsidRDefault="00000000">
      <w:pPr>
        <w:pStyle w:val="FirstParagraph"/>
      </w:pPr>
      <w:r>
        <w:t>Both quantities are bounded in [0, 1] and require no matrix inversion, reducing to sums of squared dot products against orthonormal basis vectors. We summarized relative specialization with a selectivity index:</w:t>
      </w:r>
    </w:p>
    <w:p w14:paraId="7811A74E" w14:textId="77777777" w:rsidR="00710B8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584C4775" w14:textId="77777777" w:rsidR="00710B89" w:rsidRDefault="00000000">
      <w:pPr>
        <w:pStyle w:val="FirstParagraph"/>
      </w:pPr>
      <w:r>
        <w:t>Values near 1 indicate dominance of the shared channel; values near 0 indicate dominance of private within-V1 variance. Metrics were averaged across 100 subsampling iterations, stimulus conditions, and neurons within each session to yield one value per session per cell type.</w:t>
      </w:r>
    </w:p>
    <w:p w14:paraId="015E318B" w14:textId="77777777" w:rsidR="00710B89" w:rsidRDefault="00000000">
      <w:pPr>
        <w:pStyle w:val="BodyText"/>
      </w:pPr>
      <w:r>
        <w:rPr>
          <w:b/>
          <w:bCs/>
        </w:rPr>
        <w:t>Statistical testing.</w:t>
      </w:r>
      <w:r>
        <w:t xml:space="preserve"> Session-level means of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m:oMath>
        <m:r>
          <w:rPr>
            <w:rFonts w:ascii="Cambria Math" w:hAnsi="Cambria Math"/>
          </w:rPr>
          <m:t>β</m:t>
        </m:r>
      </m:oMath>
      <w:r>
        <w:t xml:space="preserve">, and </w:t>
      </w:r>
      <m:oMath>
        <m:r>
          <w:rPr>
            <w:rFonts w:ascii="Cambria Math" w:hAnsi="Cambria Math"/>
          </w:rPr>
          <m:t>s</m:t>
        </m:r>
      </m:oMath>
      <w:r>
        <w:t xml:space="preserve"> were compared between labeled (X4) and held-out unlabeled (X3) neurons using two-sided Wilcoxon signed-rank tests, with Bonferroni correction across the three metrics.</w:t>
      </w:r>
      <w:bookmarkEnd w:id="0"/>
    </w:p>
    <w:sectPr w:rsidR="00710B8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6BED" w14:textId="77777777" w:rsidR="00674CB8" w:rsidRDefault="00674CB8">
      <w:pPr>
        <w:spacing w:after="0"/>
      </w:pPr>
      <w:r>
        <w:separator/>
      </w:r>
    </w:p>
  </w:endnote>
  <w:endnote w:type="continuationSeparator" w:id="0">
    <w:p w14:paraId="3C71F013" w14:textId="77777777" w:rsidR="00674CB8" w:rsidRDefault="00674C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BD85" w14:textId="77777777" w:rsidR="00674CB8" w:rsidRDefault="00674CB8">
      <w:r>
        <w:separator/>
      </w:r>
    </w:p>
  </w:footnote>
  <w:footnote w:type="continuationSeparator" w:id="0">
    <w:p w14:paraId="663C81D2" w14:textId="77777777" w:rsidR="00674CB8" w:rsidRDefault="00674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5F862D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333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74CB8"/>
    <w:rsid w:val="006C3B9C"/>
    <w:rsid w:val="00710B89"/>
    <w:rsid w:val="00784D58"/>
    <w:rsid w:val="008D6863"/>
    <w:rsid w:val="009F7A71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571C"/>
  <w15:docId w15:val="{0574C1BD-B488-4EEF-BF10-9394046D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Matthijs Oude Lohuis</cp:lastModifiedBy>
  <cp:revision>2</cp:revision>
  <dcterms:created xsi:type="dcterms:W3CDTF">2026-05-06T13:46:00Z</dcterms:created>
  <dcterms:modified xsi:type="dcterms:W3CDTF">2026-05-06T13:50:00Z</dcterms:modified>
</cp:coreProperties>
</file>