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Conflicts of Interest Policy</w:t>
      </w:r>
    </w:p>
    <w:p>
      <w:pPr>
        <w:jc w:val="center"/>
      </w:pPr>
      <w:r>
        <w:rPr>
          <w:rFonts w:ascii="Calibri" w:hAnsi="Calibri"/>
          <w:color w:val="64748B"/>
          <w:sz w:val="28"/>
        </w:rPr>
        <w:t>Hillway Property Consultants</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 Property Consultants</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sets out the framework by which Hillway Holdings Ltd, trading as Hillway Property Consultants ("the Firm"), identifies, records, manages, and, where necessary, avoids conflicts of interest. The Firm recognises that the effective management of conflicts of interest is fundamental to maintaining client trust, professional integrity, and compliance with RICS requirements.</w:t>
      </w:r>
    </w:p>
    <w:p>
      <w:pPr>
        <w:spacing w:after="120"/>
      </w:pPr>
      <w:r>
        <w:t>This policy applies to all directors, employees, consultants, and any other person acting on behalf of the Firm. All personnel have a personal responsibility to identify and report potential conflicts of interest. Compliance with this policy is mandatory.</w:t>
      </w:r>
    </w:p>
    <w:p>
      <w:pPr>
        <w:spacing w:after="120"/>
      </w:pPr>
      <w:r>
        <w:t>Conflicts of interest can arise in many ways in property practice. The Firm provides a wide range of services — including property management, building surveying, valuation, lease advisory, and agency — and it is essential that conflicts are identified and properly managed to protect the interests of all clients and the Firm's reputation.</w:t>
      </w:r>
    </w:p>
    <w:p>
      <w:pPr>
        <w:pStyle w:val="Heading1"/>
      </w:pPr>
      <w:r>
        <w:t>2. RICS Requirements</w:t>
      </w:r>
    </w:p>
    <w:p>
      <w:pPr>
        <w:spacing w:after="120"/>
      </w:pPr>
      <w:r>
        <w:t>The RICS Rules of Conduct (effective February 2022) require members and firms to act with integrity (Rule 1), provide good-quality and diligent service (Rule 3), and act in the public interest (Rule 5). The proper management of conflicts of interest is an essential component of meeting these obligations.</w:t>
      </w:r>
    </w:p>
    <w:p>
      <w:pPr>
        <w:spacing w:after="120"/>
      </w:pPr>
      <w:r>
        <w:t>In addition, the RICS Professional Statement on Conflicts of Interest sets out mandatory requirements for RICS-regulated firms, including the requirement to have a conflicts of interest policy, to maintain a conflicts register, and to apply appropriate management measures where conflicts arise.</w:t>
      </w:r>
    </w:p>
    <w:p>
      <w:pPr>
        <w:spacing w:after="120"/>
      </w:pPr>
      <w:r>
        <w:t>The RICS professional standard recognises that not all conflicts can be avoided — but all conflicts must be managed. Where a conflict cannot be adequately managed, the Firm must decline or withdraw from the instruction.</w:t>
      </w:r>
    </w:p>
    <w:p>
      <w:pPr>
        <w:pStyle w:val="Heading1"/>
      </w:pPr>
      <w:r>
        <w:t>3. What Constitutes a Conflict of Interest</w:t>
      </w:r>
    </w:p>
    <w:p>
      <w:pPr>
        <w:spacing w:after="120"/>
      </w:pPr>
      <w:r>
        <w:t>A conflict of interest arises where the Firm's duty to act in the best interests of one client conflicts with the interests of another client, or with the Firm's own interests. The RICS identifies three main types of conflict:</w:t>
      </w:r>
    </w:p>
    <w:p>
      <w:pPr>
        <w:pStyle w:val="Heading2"/>
      </w:pPr>
      <w:r>
        <w:t>3.1 Party Conflict</w:t>
      </w:r>
    </w:p>
    <w:p>
      <w:pPr>
        <w:spacing w:after="120"/>
      </w:pPr>
      <w:r>
        <w:t>A party conflict arises where the Firm is instructed by two or more clients who are on opposite sides of a negotiation or dispute. For example, acting for both the landlord and tenant in the same lease negotiation would be a party conflict. Party conflicts are the most serious type and in many cases cannot be managed — the Firm must decline one or both instructions.</w:t>
      </w:r>
    </w:p>
    <w:p>
      <w:pPr>
        <w:pStyle w:val="Heading2"/>
      </w:pPr>
      <w:r>
        <w:t>3.2 Own-Interest Conflict</w:t>
      </w:r>
    </w:p>
    <w:p>
      <w:pPr>
        <w:spacing w:after="120"/>
      </w:pPr>
      <w:r>
        <w:t>An own-interest conflict arises where the Firm, or a person within the Firm, has a personal or financial interest that could influence the advice given or the service provided to a client. For example, if a director of the Firm wished to purchase a property that the Firm had been instructed to sell, this would be an own-interest conflict.</w:t>
      </w:r>
    </w:p>
    <w:p>
      <w:pPr>
        <w:pStyle w:val="Heading2"/>
      </w:pPr>
      <w:r>
        <w:t>3.3 Confidential Information Conflict</w:t>
      </w:r>
    </w:p>
    <w:p>
      <w:pPr>
        <w:spacing w:after="120"/>
      </w:pPr>
      <w:r>
        <w:t>A confidential information conflict arises where the Firm holds confidential information about one client that, if known to another client or prospective client, could influence their decisions or negotiations. This type of conflict may arise even where there is no direct party conflict. For example, if the Firm is advising one client on the disposal of a property and holds confidential information about a prospective buyer from a previous instruction.</w:t>
      </w:r>
    </w:p>
    <w:p>
      <w:r>
        <w:br w:type="page"/>
      </w:r>
    </w:p>
    <w:p>
      <w:pPr>
        <w:pStyle w:val="Heading1"/>
      </w:pPr>
      <w:r>
        <w:t>4. Types of Conflicts in Property Practice</w:t>
      </w:r>
    </w:p>
    <w:p>
      <w:pPr>
        <w:spacing w:after="120"/>
      </w:pPr>
      <w:r>
        <w:t>The following are common scenarios in property practice where conflicts of interest may arise. This list is not exhaustive, and all personnel should be alert to potential conflicts in all aspects of their work.</w:t>
      </w:r>
    </w:p>
    <w:p>
      <w:pPr>
        <w:pStyle w:val="Heading2"/>
      </w:pPr>
      <w:r>
        <w:t>4.1 Landlord and Tenant</w:t>
      </w:r>
    </w:p>
    <w:p>
      <w:pPr>
        <w:spacing w:after="120"/>
      </w:pPr>
      <w:r>
        <w:t>The Firm must not act for both the landlord and tenant on the same property in relation to the same transaction (e.g. lease negotiation, rent review, dilapidations claim) unless the conflict can be managed through information barriers and both parties give informed written consent. In most cases, it will not be appropriate to act for both parties, and the Firm should decline one instruction.</w:t>
      </w:r>
    </w:p>
    <w:p>
      <w:pPr>
        <w:pStyle w:val="Heading2"/>
      </w:pPr>
      <w:r>
        <w:t>4.2 Multiple Bidders</w:t>
      </w:r>
    </w:p>
    <w:p>
      <w:pPr>
        <w:spacing w:after="120"/>
      </w:pPr>
      <w:r>
        <w:t>Where the Firm is marketing a property for sale or to let and receives offers or applications from multiple parties, the Firm must act in the best interests of the instructing client (the seller or landlord). Where the Firm has a pre-existing relationship with one or more of the bidders, this must be disclosed to the instructing client.</w:t>
      </w:r>
    </w:p>
    <w:p>
      <w:pPr>
        <w:pStyle w:val="Heading2"/>
      </w:pPr>
      <w:r>
        <w:t>4.3 Valuation Independence</w:t>
      </w:r>
    </w:p>
    <w:p>
      <w:pPr>
        <w:spacing w:after="120"/>
      </w:pPr>
      <w:r>
        <w:t>Where the Firm is providing a valuation of a property, the valuer must be independent and must not be involved in any agency, management, or other advisory role in relation to the same property. This is a requirement of the RICS Valuation — Global Standards (the "Red Book"). Any previous or current involvement with the property must be disclosed in the valuation report.</w:t>
      </w:r>
    </w:p>
    <w:p>
      <w:pPr>
        <w:pStyle w:val="Heading2"/>
      </w:pPr>
      <w:r>
        <w:t>4.4 Property Management and Rent Review</w:t>
      </w:r>
    </w:p>
    <w:p>
      <w:pPr>
        <w:spacing w:after="120"/>
      </w:pPr>
      <w:r>
        <w:t>Where the Firm manages a property on behalf of the landlord and is also instructed to advise on a rent review at the same property, care must be taken to ensure that the management function does not compromise the independence of the rent review advice. In some cases, it may be appropriate to instruct an external firm for the rent review.</w:t>
      </w:r>
    </w:p>
    <w:p>
      <w:pPr>
        <w:pStyle w:val="Heading2"/>
      </w:pPr>
      <w:r>
        <w:t>4.5 Personal Property Transactions</w:t>
      </w:r>
    </w:p>
    <w:p>
      <w:pPr>
        <w:spacing w:after="120"/>
      </w:pPr>
      <w:r>
        <w:t>See section 8 below for specific requirements relating to personal property transactions by directors and staff.</w:t>
      </w:r>
    </w:p>
    <w:p>
      <w:pPr>
        <w:pStyle w:val="Heading2"/>
      </w:pPr>
      <w:r>
        <w:t>4.6 Former Client Conflicts</w:t>
      </w:r>
    </w:p>
    <w:p>
      <w:pPr>
        <w:spacing w:after="120"/>
      </w:pPr>
      <w:r>
        <w:t>Conflicts may arise from previous instructions even after the business relationship has ended. Where the Firm holds confidential information from a former client, this must be taken into account when accepting new instructions. If the information could reasonably be considered relevant to the new instruction, the Firm must either obtain consent from the former client or decline the new instruction.</w:t>
      </w:r>
    </w:p>
    <w:p>
      <w:pPr>
        <w:pStyle w:val="Heading1"/>
      </w:pPr>
      <w:r>
        <w:t>5. Identification and Declaration</w:t>
      </w:r>
    </w:p>
    <w:p>
      <w:pPr>
        <w:pStyle w:val="Heading2"/>
      </w:pPr>
      <w:r>
        <w:t>5.1 New Instruction Conflict Check</w:t>
      </w:r>
    </w:p>
    <w:p>
      <w:pPr>
        <w:spacing w:after="120"/>
      </w:pPr>
      <w:r>
        <w:t>A conflict check must be carried out before accepting any new instruction. This check involves reviewing the Firm's conflicts register, current instructions, and relevant historical instructions to identify any potential conflict. The conflict check must be documented and retained on the instruction file.</w:t>
      </w:r>
    </w:p>
    <w:p>
      <w:pPr>
        <w:spacing w:after="120"/>
      </w:pPr>
      <w:r>
        <w:t>No work should commence on a new instruction until the conflict check has been completed and cleared by the Managing Director (or, for instructions accepted by the Managing Director, by the other Director).</w:t>
      </w:r>
    </w:p>
    <w:p>
      <w:pPr>
        <w:pStyle w:val="Heading2"/>
      </w:pPr>
      <w:r>
        <w:t>5.2 Conflicts Register</w:t>
      </w:r>
    </w:p>
    <w:p>
      <w:pPr>
        <w:spacing w:after="120"/>
      </w:pPr>
      <w:r>
        <w:t>The Firm maintains a central conflicts register that records all identified conflicts and the steps taken to manage them. The register is maintained by the Managing Director and is reviewed periodically. All personnel have a responsibility to ensure that the register is kept up to date by reporting any new or potential conflicts promptly.</w:t>
      </w:r>
    </w:p>
    <w:p>
      <w:pPr>
        <w:pStyle w:val="Heading2"/>
      </w:pPr>
      <w:r>
        <w:t>5.3 Staff Declaration of Interests</w:t>
      </w:r>
    </w:p>
    <w:p>
      <w:pPr>
        <w:spacing w:after="120"/>
      </w:pPr>
      <w:r>
        <w:t>All directors and staff must complete a declaration of interests at the start of their engagement with the Firm and annually thereafter. Declarations must include any personal or financial interests that could give rise to a conflict of interest, including property interests, directorships of other companies, financial interests in clients or contractors, and family or personal relationships with clients, competitors, or contractors.</w:t>
      </w:r>
    </w:p>
    <w:p>
      <w:pPr>
        <w:pStyle w:val="Heading2"/>
      </w:pPr>
      <w:r>
        <w:t>5.4 Ongoing Obligation</w:t>
      </w:r>
    </w:p>
    <w:p>
      <w:pPr>
        <w:spacing w:after="120"/>
      </w:pPr>
      <w:r>
        <w:t>The obligation to identify and report conflicts is ongoing. If a conflict arises during the course of an instruction (for example, because circumstances change or new information comes to light), it must be reported immediately to the Managing Director.</w:t>
      </w:r>
    </w:p>
    <w:p>
      <w:r>
        <w:br w:type="page"/>
      </w:r>
    </w:p>
    <w:p>
      <w:pPr>
        <w:pStyle w:val="Heading1"/>
      </w:pPr>
      <w:r>
        <w:t>6. Managing Conflicts</w:t>
      </w:r>
    </w:p>
    <w:p>
      <w:pPr>
        <w:spacing w:after="120"/>
      </w:pPr>
      <w:r>
        <w:t>Where a conflict of interest is identified, the Firm will apply one or more of the following management measures, depending on the nature and severity of the conflict:</w:t>
      </w:r>
    </w:p>
    <w:p>
      <w:pPr>
        <w:pStyle w:val="Heading2"/>
      </w:pPr>
      <w:r>
        <w:t>6.1 Informed Consent</w:t>
      </w:r>
    </w:p>
    <w:p>
      <w:pPr>
        <w:spacing w:after="120"/>
      </w:pPr>
      <w:r>
        <w:t>Where a conflict can be managed, both (or all) affected parties must give informed written consent before the Firm can continue to act. Informed consent means that each party has been told: the nature of the conflict; the steps the Firm will take to manage it; and their right to instruct an alternative firm. Consent must be obtained in writing and retained on file.</w:t>
      </w:r>
    </w:p>
    <w:p>
      <w:pPr>
        <w:pStyle w:val="Heading2"/>
      </w:pPr>
      <w:r>
        <w:t>6.2 Information Barriers</w:t>
      </w:r>
    </w:p>
    <w:p>
      <w:pPr>
        <w:spacing w:after="120"/>
      </w:pPr>
      <w:r>
        <w:t>Where appropriate, the Firm may implement information barriers (sometimes called "Chinese walls") to prevent the flow of confidential information between teams acting for different clients. Information barriers may include:</w:t>
      </w:r>
    </w:p>
    <w:p>
      <w:pPr>
        <w:pStyle w:val="ListBullet"/>
        <w:spacing w:after="60"/>
      </w:pPr>
      <w:r>
        <w:t>Assigning different personnel to each instruction, with no overlap.</w:t>
      </w:r>
    </w:p>
    <w:p>
      <w:pPr>
        <w:pStyle w:val="ListBullet"/>
        <w:spacing w:after="60"/>
      </w:pPr>
      <w:r>
        <w:t>Restricting access to files, documents, and electronic records.</w:t>
      </w:r>
    </w:p>
    <w:p>
      <w:pPr>
        <w:pStyle w:val="ListBullet"/>
        <w:spacing w:after="60"/>
      </w:pPr>
      <w:r>
        <w:t>Physical separation of teams (where the Firm's size and premises permit).</w:t>
      </w:r>
    </w:p>
    <w:p>
      <w:pPr>
        <w:pStyle w:val="ListBullet"/>
        <w:spacing w:after="60"/>
      </w:pPr>
      <w:r>
        <w:t>Clear instructions to relevant personnel not to discuss the matters with each other.</w:t>
      </w:r>
    </w:p>
    <w:p>
      <w:pPr>
        <w:pStyle w:val="ListBullet"/>
        <w:spacing w:after="60"/>
      </w:pPr>
      <w:r>
        <w:t>Supervision by the Managing Director to ensure the barriers are maintained.</w:t>
      </w:r>
    </w:p>
    <w:p>
      <w:pPr>
        <w:spacing w:after="120"/>
      </w:pPr>
      <w:r>
        <w:t>Information barriers are only effective where they can be genuinely maintained. Given the size of the Firm, there will be cases where information barriers are not practicable, and the Firm must decline the conflicting instruction.</w:t>
      </w:r>
    </w:p>
    <w:p>
      <w:pPr>
        <w:pStyle w:val="Heading2"/>
      </w:pPr>
      <w:r>
        <w:t>6.3 Declining Instructions</w:t>
      </w:r>
    </w:p>
    <w:p>
      <w:pPr>
        <w:spacing w:after="120"/>
      </w:pPr>
      <w:r>
        <w:t>Where a conflict cannot be managed through informed consent and/or information barriers, the Firm must decline the instruction. The decision to decline will be made by the Managing Director, taking into account the nature of the conflict, the interests of the clients involved, and the practical feasibility of management measures.</w:t>
      </w:r>
    </w:p>
    <w:p>
      <w:pPr>
        <w:pStyle w:val="Heading2"/>
      </w:pPr>
      <w:r>
        <w:t>6.4 Withdrawing from Acting</w:t>
      </w:r>
    </w:p>
    <w:p>
      <w:pPr>
        <w:spacing w:after="120"/>
      </w:pPr>
      <w:r>
        <w:t>Where a conflict arises during the course of an instruction that cannot be managed, the Firm must withdraw from acting for one or both clients. The decision to withdraw will be made promptly and communicated to the affected clients in writing, with an appropriate explanation (taking care not to breach confidentiality).</w:t>
      </w:r>
    </w:p>
    <w:p>
      <w:pPr>
        <w:pStyle w:val="Heading1"/>
      </w:pPr>
      <w:r>
        <w:t>7. Gift and Hospitality</w:t>
      </w:r>
    </w:p>
    <w:p>
      <w:pPr>
        <w:spacing w:after="120"/>
      </w:pPr>
      <w:r>
        <w:t>The giving and receiving of gifts and hospitality can create or appear to create conflicts of interest. The Firm has adopted the following rules to ensure that gifts and hospitality do not compromise the Firm's independence or objectivity.</w:t>
      </w:r>
    </w:p>
    <w:p>
      <w:pPr>
        <w:pStyle w:val="Heading2"/>
      </w:pPr>
      <w:r>
        <w:t>7.1 Register</w:t>
      </w:r>
    </w:p>
    <w:p>
      <w:pPr>
        <w:spacing w:after="120"/>
      </w:pPr>
      <w:r>
        <w:t>All gifts and hospitality with a value of more than £50 (whether given or received) must be recorded in the Firm's gifts and hospitality register. The register is maintained by the Managing Director and is available for review.</w:t>
      </w:r>
    </w:p>
    <w:p>
      <w:pPr>
        <w:pStyle w:val="Heading2"/>
      </w:pPr>
      <w:r>
        <w:t>7.2 Approval Requirements</w:t>
      </w:r>
    </w:p>
    <w:p>
      <w:pPr>
        <w:spacing w:after="120"/>
      </w:pPr>
      <w:r>
        <w:t>The following approval requirements apply:</w:t>
      </w:r>
    </w:p>
    <w:p>
      <w:pPr>
        <w:pStyle w:val="ListBullet"/>
        <w:spacing w:after="60"/>
      </w:pPr>
      <w:r>
        <w:t>Gifts or hospitality with a value up to £50: may be accepted or given without prior approval, provided they are reasonable and proportionate.</w:t>
      </w:r>
    </w:p>
    <w:p>
      <w:pPr>
        <w:pStyle w:val="ListBullet"/>
        <w:spacing w:after="60"/>
      </w:pPr>
      <w:r>
        <w:t>Gifts or hospitality with a value between £50 and £100: must be recorded in the register.</w:t>
      </w:r>
    </w:p>
    <w:p>
      <w:pPr>
        <w:pStyle w:val="ListBullet"/>
        <w:spacing w:after="60"/>
      </w:pPr>
      <w:r>
        <w:t>Gifts or hospitality with a value exceeding £100: must be approved by the Managing Director before acceptance or provision.</w:t>
      </w:r>
    </w:p>
    <w:p>
      <w:pPr>
        <w:pStyle w:val="Heading2"/>
      </w:pPr>
      <w:r>
        <w:t>7.3 Prohibited Gifts and Hospitality</w:t>
      </w:r>
    </w:p>
    <w:p>
      <w:pPr>
        <w:spacing w:after="120"/>
      </w:pPr>
      <w:r>
        <w:t>The following are prohibited in all circumstances:</w:t>
      </w:r>
    </w:p>
    <w:p>
      <w:pPr>
        <w:pStyle w:val="ListBullet"/>
        <w:spacing w:after="60"/>
      </w:pPr>
      <w:r>
        <w:t>Gifts or hospitality from parties involved in active negotiations or disputes in which the Firm is acting.</w:t>
      </w:r>
    </w:p>
    <w:p>
      <w:pPr>
        <w:pStyle w:val="ListBullet"/>
        <w:spacing w:after="60"/>
      </w:pPr>
      <w:r>
        <w:t>Cash or cash equivalents (vouchers, gift cards, etc.) from clients or third parties.</w:t>
      </w:r>
    </w:p>
    <w:p>
      <w:pPr>
        <w:pStyle w:val="ListBullet"/>
        <w:spacing w:after="60"/>
      </w:pPr>
      <w:r>
        <w:t>Any gift or hospitality that could reasonably be perceived as an inducement or bribe.</w:t>
      </w:r>
    </w:p>
    <w:p>
      <w:pPr>
        <w:pStyle w:val="ListBullet"/>
        <w:spacing w:after="60"/>
      </w:pPr>
      <w:r>
        <w:t>Gifts or hospitality that are lavish or disproportionate to the business relationship.</w:t>
      </w:r>
    </w:p>
    <w:p>
      <w:pPr>
        <w:pStyle w:val="Heading2"/>
      </w:pPr>
      <w:r>
        <w:t>7.4 Seasonal Gifts</w:t>
      </w:r>
    </w:p>
    <w:p>
      <w:pPr>
        <w:spacing w:after="120"/>
      </w:pPr>
      <w:r>
        <w:t>Seasonal gifts (such as Christmas gifts from clients or contractors) with a value of less than £50 may be accepted without prior approval, provided they are of a general nature (e.g. food, drink, or branded items) and are not given in connection with any specific transaction or instruction.</w:t>
      </w:r>
    </w:p>
    <w:p>
      <w:pPr>
        <w:pStyle w:val="Heading1"/>
      </w:pPr>
      <w:r>
        <w:t>8. Personal Property Transactions</w:t>
      </w:r>
    </w:p>
    <w:p>
      <w:pPr>
        <w:spacing w:after="120"/>
      </w:pPr>
      <w:r>
        <w:t>All directors and staff must disclose and obtain approval before buying, selling, or letting any property where the Firm acts or has acted (within the previous 12 months), or where the Firm may reasonably be expected to act in the future.</w:t>
      </w:r>
    </w:p>
    <w:p>
      <w:pPr>
        <w:spacing w:after="120"/>
      </w:pPr>
      <w:r>
        <w:t>The following procedure applies:</w:t>
      </w:r>
    </w:p>
    <w:p>
      <w:pPr>
        <w:pStyle w:val="ListBullet"/>
        <w:spacing w:after="60"/>
      </w:pPr>
      <w:r>
        <w:t>The individual must notify the Managing Director in writing before making or accepting any offer.</w:t>
      </w:r>
    </w:p>
    <w:p>
      <w:pPr>
        <w:pStyle w:val="ListBullet"/>
        <w:spacing w:after="60"/>
      </w:pPr>
      <w:r>
        <w:t>The notification must include details of the property, the individual's interest, and any connection to the Firm's instructions.</w:t>
      </w:r>
    </w:p>
    <w:p>
      <w:pPr>
        <w:pStyle w:val="ListBullet"/>
        <w:spacing w:after="60"/>
      </w:pPr>
      <w:r>
        <w:t>The Managing Director will assess whether a conflict exists and, if so, what management measures are required.</w:t>
      </w:r>
    </w:p>
    <w:p>
      <w:pPr>
        <w:pStyle w:val="ListBullet"/>
        <w:spacing w:after="60"/>
      </w:pPr>
      <w:r>
        <w:t>No transaction may proceed without written approval from the Managing Director.</w:t>
      </w:r>
    </w:p>
    <w:p>
      <w:pPr>
        <w:pStyle w:val="ListBullet"/>
        <w:spacing w:after="60"/>
      </w:pPr>
      <w:r>
        <w:t>Where the transaction involves the Managing Director, approval must be obtained from the other Director.</w:t>
      </w:r>
    </w:p>
    <w:p>
      <w:pPr>
        <w:spacing w:after="120"/>
      </w:pPr>
      <w:r>
        <w:t>This requirement applies to all property transactions, whether residential or commercial, and whether the individual is acting in their personal capacity or through a company, trust, or other vehicle.</w:t>
      </w:r>
    </w:p>
    <w:p>
      <w:r>
        <w:br w:type="page"/>
      </w:r>
    </w:p>
    <w:p>
      <w:pPr>
        <w:pStyle w:val="Heading1"/>
      </w:pPr>
      <w:r>
        <w:t>9. Record Keeping</w:t>
      </w:r>
    </w:p>
    <w:p>
      <w:pPr>
        <w:spacing w:after="120"/>
      </w:pPr>
      <w:r>
        <w:t>The Firm maintains the following records in connection with conflicts of interest management:</w:t>
      </w:r>
    </w:p>
    <w:p>
      <w:pPr>
        <w:pStyle w:val="ListBullet"/>
        <w:spacing w:after="60"/>
      </w:pPr>
      <w:r>
        <w:t>Conflicts register: a central record of all identified conflicts and the management measures applied.</w:t>
      </w:r>
    </w:p>
    <w:p>
      <w:pPr>
        <w:pStyle w:val="ListBullet"/>
        <w:spacing w:after="60"/>
      </w:pPr>
      <w:r>
        <w:t>Conflict check records: documentation of conflict checks carried out on new instructions.</w:t>
      </w:r>
    </w:p>
    <w:p>
      <w:pPr>
        <w:pStyle w:val="ListBullet"/>
        <w:spacing w:after="60"/>
      </w:pPr>
      <w:r>
        <w:t>Declarations of interest: annual and ad hoc declarations from directors and staff.</w:t>
      </w:r>
    </w:p>
    <w:p>
      <w:pPr>
        <w:pStyle w:val="ListBullet"/>
        <w:spacing w:after="60"/>
      </w:pPr>
      <w:r>
        <w:t>Informed consent records: written consents obtained from clients.</w:t>
      </w:r>
    </w:p>
    <w:p>
      <w:pPr>
        <w:pStyle w:val="ListBullet"/>
        <w:spacing w:after="60"/>
      </w:pPr>
      <w:r>
        <w:t>Gifts and hospitality register: records of gifts and hospitality given and received.</w:t>
      </w:r>
    </w:p>
    <w:p>
      <w:pPr>
        <w:pStyle w:val="ListBullet"/>
        <w:spacing w:after="60"/>
      </w:pPr>
      <w:r>
        <w:t>Personal property transaction approvals.</w:t>
      </w:r>
    </w:p>
    <w:p>
      <w:pPr>
        <w:spacing w:after="120"/>
      </w:pPr>
      <w:r>
        <w:t>All conflicts-related records are retained for a minimum of 6 years from the date of creation or the end of the relevant business relationship, whichever is later.</w:t>
      </w:r>
    </w:p>
    <w:p>
      <w:pPr>
        <w:pStyle w:val="Heading1"/>
      </w:pPr>
      <w:r>
        <w:t>10. Reporting Breaches</w:t>
      </w:r>
    </w:p>
    <w:p>
      <w:pPr>
        <w:spacing w:after="120"/>
      </w:pPr>
      <w:r>
        <w:t>Any person who becomes aware of an actual or potential breach of this policy must report it to the Managing Director immediately. Where the breach involves the Managing Director, the report should be made to the other Director.</w:t>
      </w:r>
    </w:p>
    <w:p>
      <w:pPr>
        <w:spacing w:after="120"/>
      </w:pPr>
      <w:r>
        <w:t>All reports will be investigated promptly. Where a breach is confirmed, the Managing Director will determine the appropriate remedial action, which may include notifying affected clients, withdrawing from instructions, and/or taking disciplinary action against the individual responsible.</w:t>
      </w:r>
    </w:p>
    <w:p>
      <w:pPr>
        <w:spacing w:after="120"/>
      </w:pPr>
      <w:r>
        <w:t>The Firm will not take any adverse action against a person who reports a genuine concern in good faith, even if the concern turns out to be unfounded. The Firm takes its conflict management obligations seriously and encourages open reporting.</w:t>
      </w:r>
    </w:p>
    <w:p>
      <w:pPr>
        <w:pStyle w:val="Heading1"/>
      </w:pPr>
      <w:r>
        <w:t>11. Consequences of Non-Compliance</w:t>
      </w:r>
    </w:p>
    <w:p>
      <w:pPr>
        <w:spacing w:after="120"/>
      </w:pPr>
      <w:r>
        <w:t>Non-compliance with this policy may result in:</w:t>
      </w:r>
    </w:p>
    <w:p>
      <w:pPr>
        <w:pStyle w:val="ListBullet"/>
        <w:spacing w:after="60"/>
      </w:pPr>
      <w:r>
        <w:t>Internal disciplinary action, which may include verbal or written warnings, suspension, or dismissal.</w:t>
      </w:r>
    </w:p>
    <w:p>
      <w:pPr>
        <w:pStyle w:val="ListBullet"/>
        <w:spacing w:after="60"/>
      </w:pPr>
      <w:r>
        <w:t>RICS disciplinary proceedings against the individual or the Firm.</w:t>
      </w:r>
    </w:p>
    <w:p>
      <w:pPr>
        <w:pStyle w:val="ListBullet"/>
        <w:spacing w:after="60"/>
      </w:pPr>
      <w:r>
        <w:t>Civil claims from clients who have suffered loss as a result of a conflict of interest.</w:t>
      </w:r>
    </w:p>
    <w:p>
      <w:pPr>
        <w:pStyle w:val="ListBullet"/>
        <w:spacing w:after="60"/>
      </w:pPr>
      <w:r>
        <w:t>Reputational damage to the Firm and the individuals involved.</w:t>
      </w:r>
    </w:p>
    <w:p>
      <w:pPr>
        <w:pStyle w:val="ListBullet"/>
        <w:spacing w:after="60"/>
      </w:pPr>
      <w:r>
        <w:t>Loss of RICS Regulated Firm status in serious cases.</w:t>
      </w:r>
    </w:p>
    <w:p>
      <w:pPr>
        <w:spacing w:after="120"/>
      </w:pPr>
      <w:r>
        <w:t>Failure to disclose a conflict of interest is treated as a serious matter, regardless of whether any actual harm results. The Firm expects all personnel to apply professional judgement and, where in doubt, to disclose and seek guidance rather than risk a breach.</w:t>
      </w:r>
    </w:p>
    <w:p>
      <w:r>
        <w:br w:type="page"/>
      </w:r>
    </w:p>
    <w:p>
      <w:pPr>
        <w:pStyle w:val="Heading1"/>
      </w:pPr>
      <w:r>
        <w:t>Document Control</w:t>
      </w:r>
    </w:p>
    <w:p>
      <w:pPr>
        <w:spacing w:after="120"/>
      </w:pPr>
      <w:r>
        <w:t>This document is subject to the following version control:</w:t>
      </w:r>
    </w:p>
    <w:p>
      <w:pPr>
        <w:pStyle w:val="Heading2"/>
      </w:pPr>
      <w:r>
        <w:t>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E40AF"/>
          </w:tcPr>
          <w:p>
            <w:pPr>
              <w:jc w:val="left"/>
            </w:pPr>
            <w:r>
              <w:rPr>
                <w:rFonts w:ascii="Calibri" w:hAnsi="Calibri"/>
                <w:b/>
                <w:color w:val="FFFFFF"/>
                <w:sz w:val="20"/>
              </w:rPr>
              <w:t>Version</w:t>
            </w:r>
          </w:p>
        </w:tc>
        <w:tc>
          <w:tcPr>
            <w:tcW w:type="dxa" w:w="1701"/>
            <w:shd w:fill="1E40AF"/>
          </w:tcPr>
          <w:p>
            <w:pPr>
              <w:jc w:val="left"/>
            </w:pPr>
            <w:r>
              <w:rPr>
                <w:rFonts w:ascii="Calibri" w:hAnsi="Calibri"/>
                <w:b/>
                <w:color w:val="FFFFFF"/>
                <w:sz w:val="20"/>
              </w:rPr>
              <w:t>Date</w:t>
            </w:r>
          </w:p>
        </w:tc>
        <w:tc>
          <w:tcPr>
            <w:tcW w:type="dxa" w:w="2835"/>
            <w:shd w:fill="1E40AF"/>
          </w:tcPr>
          <w:p>
            <w:pPr>
              <w:jc w:val="left"/>
            </w:pPr>
            <w:r>
              <w:rPr>
                <w:rFonts w:ascii="Calibri" w:hAnsi="Calibri"/>
                <w:b/>
                <w:color w:val="FFFFFF"/>
                <w:sz w:val="20"/>
              </w:rPr>
              <w:t>Author</w:t>
            </w:r>
          </w:p>
        </w:tc>
        <w:tc>
          <w:tcPr>
            <w:tcW w:type="dxa" w:w="3402"/>
            <w:shd w:fill="1E40AF"/>
          </w:tcPr>
          <w:p>
            <w:pPr>
              <w:jc w:val="left"/>
            </w:pPr>
            <w:r>
              <w:rPr>
                <w:rFonts w:ascii="Calibri" w:hAnsi="Calibri"/>
                <w:b/>
                <w:color w:val="FFFFFF"/>
                <w:sz w:val="20"/>
              </w:rPr>
              <w:t>Description</w:t>
            </w:r>
          </w:p>
        </w:tc>
      </w:tr>
      <w:tr>
        <w:tc>
          <w:tcPr>
            <w:tcW w:type="dxa" w:w="1134"/>
          </w:tcPr>
          <w:p>
            <w:r>
              <w:rPr>
                <w:rFonts w:ascii="Calibri" w:hAnsi="Calibri"/>
                <w:color w:val="333333"/>
                <w:sz w:val="20"/>
              </w:rPr>
              <w:t>1.0</w:t>
            </w:r>
          </w:p>
        </w:tc>
        <w:tc>
          <w:tcPr>
            <w:tcW w:type="dxa" w:w="1701"/>
          </w:tcPr>
          <w:p>
            <w:r>
              <w:rPr>
                <w:rFonts w:ascii="Calibri" w:hAnsi="Calibri"/>
                <w:color w:val="333333"/>
                <w:sz w:val="20"/>
              </w:rPr>
              <w:t>February 2026</w:t>
            </w:r>
          </w:p>
        </w:tc>
        <w:tc>
          <w:tcPr>
            <w:tcW w:type="dxa" w:w="2835"/>
          </w:tcPr>
          <w:p>
            <w:r>
              <w:rPr>
                <w:rFonts w:ascii="Calibri" w:hAnsi="Calibri"/>
                <w:color w:val="333333"/>
                <w:sz w:val="20"/>
              </w:rPr>
              <w:t>Matt Fitzgerald MRICS</w:t>
            </w:r>
          </w:p>
        </w:tc>
        <w:tc>
          <w:tcPr>
            <w:tcW w:type="dxa" w:w="3402"/>
          </w:tcPr>
          <w:p>
            <w:r>
              <w:rPr>
                <w:rFonts w:ascii="Calibri" w:hAnsi="Calibri"/>
                <w:color w:val="333333"/>
                <w:sz w:val="20"/>
              </w:rPr>
              <w:t>Initial issue</w:t>
            </w:r>
          </w:p>
        </w:tc>
      </w:tr>
    </w:tbl>
    <w:p/>
    <w:p>
      <w:pPr>
        <w:pStyle w:val="Heading2"/>
      </w:pPr>
      <w:r>
        <w:t>Approval</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E40AF"/>
          </w:tcPr>
          <w:p>
            <w:pPr>
              <w:jc w:val="left"/>
            </w:pPr>
            <w:r>
              <w:rPr>
                <w:rFonts w:ascii="Calibri" w:hAnsi="Calibri"/>
                <w:b/>
                <w:color w:val="FFFFFF"/>
                <w:sz w:val="20"/>
              </w:rPr>
              <w:t>Name</w:t>
            </w:r>
          </w:p>
        </w:tc>
        <w:tc>
          <w:tcPr>
            <w:tcW w:type="dxa" w:w="2835"/>
            <w:shd w:fill="1E40AF"/>
          </w:tcPr>
          <w:p>
            <w:pPr>
              <w:jc w:val="left"/>
            </w:pPr>
            <w:r>
              <w:rPr>
                <w:rFonts w:ascii="Calibri" w:hAnsi="Calibri"/>
                <w:b/>
                <w:color w:val="FFFFFF"/>
                <w:sz w:val="20"/>
              </w:rPr>
              <w:t>Role</w:t>
            </w:r>
          </w:p>
        </w:tc>
        <w:tc>
          <w:tcPr>
            <w:tcW w:type="dxa" w:w="2268"/>
            <w:shd w:fill="1E40AF"/>
          </w:tcPr>
          <w:p>
            <w:pPr>
              <w:jc w:val="left"/>
            </w:pPr>
            <w:r>
              <w:rPr>
                <w:rFonts w:ascii="Calibri" w:hAnsi="Calibri"/>
                <w:b/>
                <w:color w:val="FFFFFF"/>
                <w:sz w:val="20"/>
              </w:rPr>
              <w:t>Date</w:t>
            </w:r>
          </w:p>
        </w:tc>
      </w:tr>
      <w:tr>
        <w:tc>
          <w:tcPr>
            <w:tcW w:type="dxa" w:w="2835"/>
          </w:tcPr>
          <w:p>
            <w:r>
              <w:rPr>
                <w:rFonts w:ascii="Calibri" w:hAnsi="Calibri"/>
                <w:color w:val="333333"/>
                <w:sz w:val="20"/>
              </w:rPr>
              <w:t>Matt Fitzgerald MRICS</w:t>
            </w:r>
          </w:p>
        </w:tc>
        <w:tc>
          <w:tcPr>
            <w:tcW w:type="dxa" w:w="2835"/>
          </w:tcPr>
          <w:p>
            <w:r>
              <w:rPr>
                <w:rFonts w:ascii="Calibri" w:hAnsi="Calibri"/>
                <w:color w:val="333333"/>
                <w:sz w:val="20"/>
              </w:rPr>
              <w:t>Managing Director</w:t>
            </w:r>
          </w:p>
        </w:tc>
        <w:tc>
          <w:tcPr>
            <w:tcW w:type="dxa" w:w="2268"/>
          </w:tcPr>
          <w:p>
            <w:r>
              <w:rPr>
                <w:rFonts w:ascii="Calibri" w:hAnsi="Calibri"/>
                <w:color w:val="333333"/>
                <w:sz w:val="20"/>
              </w:rPr>
              <w:t>February 2026</w:t>
            </w:r>
          </w:p>
        </w:tc>
      </w:tr>
      <w:tr>
        <w:tc>
          <w:tcPr>
            <w:tcW w:type="dxa" w:w="2835"/>
          </w:tcPr>
          <w:p>
            <w:r>
              <w:rPr>
                <w:rFonts w:ascii="Calibri" w:hAnsi="Calibri"/>
                <w:color w:val="333333"/>
                <w:sz w:val="20"/>
              </w:rPr>
              <w:t>Jamie Smyth MRICS</w:t>
            </w:r>
          </w:p>
        </w:tc>
        <w:tc>
          <w:tcPr>
            <w:tcW w:type="dxa" w:w="2835"/>
          </w:tcPr>
          <w:p>
            <w:r>
              <w:rPr>
                <w:rFonts w:ascii="Calibri" w:hAnsi="Calibri"/>
                <w:color w:val="333333"/>
                <w:sz w:val="20"/>
              </w:rPr>
              <w:t>Director</w:t>
            </w:r>
          </w:p>
        </w:tc>
        <w:tc>
          <w:tcPr>
            <w:tcW w:type="dxa" w:w="2268"/>
          </w:tcPr>
          <w:p>
            <w:r>
              <w:rPr>
                <w:rFonts w:ascii="Calibri" w:hAnsi="Calibri"/>
                <w:color w:val="333333"/>
                <w:sz w:val="20"/>
              </w:rPr>
              <w:t>February 2026</w:t>
            </w:r>
          </w:p>
        </w:tc>
      </w:tr>
    </w:tbl>
    <w:p/>
    <w:p>
      <w:pPr>
        <w:pStyle w:val="Heading2"/>
      </w:pPr>
      <w:r>
        <w:t>Review Schedule</w:t>
      </w:r>
    </w:p>
    <w:p>
      <w:pPr>
        <w:spacing w:after="120"/>
      </w:pPr>
      <w:r>
        <w:t>This policy shall be reviewed at least annually, or sooner if there are relevant changes in legislation, regulation, or business operations.</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Next Review Date</w:t>
            </w:r>
          </w:p>
        </w:tc>
        <w:tc>
          <w:tcPr>
            <w:tcW w:type="dxa" w:w="4535"/>
            <w:shd w:fill="1E40AF"/>
          </w:tcPr>
          <w:p>
            <w:pPr>
              <w:jc w:val="left"/>
            </w:pPr>
            <w:r>
              <w:rPr>
                <w:rFonts w:ascii="Calibri" w:hAnsi="Calibri"/>
                <w:b/>
                <w:color w:val="FFFFFF"/>
                <w:sz w:val="20"/>
              </w:rPr>
              <w:t>Review Owner</w:t>
            </w:r>
          </w:p>
        </w:tc>
      </w:tr>
      <w:tr>
        <w:tc>
          <w:tcPr>
            <w:tcW w:type="dxa" w:w="2835"/>
          </w:tcPr>
          <w:p>
            <w:r>
              <w:rPr>
                <w:rFonts w:ascii="Calibri" w:hAnsi="Calibri"/>
                <w:color w:val="333333"/>
                <w:sz w:val="20"/>
              </w:rPr>
              <w:t>February 2027</w:t>
            </w:r>
          </w:p>
        </w:tc>
        <w:tc>
          <w:tcPr>
            <w:tcW w:type="dxa" w:w="4535"/>
          </w:tcPr>
          <w:p>
            <w:r>
              <w:rPr>
                <w:rFonts w:ascii="Calibri" w:hAnsi="Calibri"/>
                <w:color w:val="333333"/>
                <w:sz w:val="20"/>
              </w:rPr>
              <w:t>Matt Fitzgerald MRICS</w:t>
            </w:r>
          </w:p>
        </w:tc>
      </w:tr>
    </w:tbl>
    <w:p/>
    <w:p>
      <w:pPr>
        <w:pStyle w:val="Heading2"/>
      </w:pPr>
      <w:r>
        <w:t>Distribution</w:t>
      </w:r>
    </w:p>
    <w:p>
      <w:pPr>
        <w:spacing w:after="120"/>
      </w:pPr>
      <w:r>
        <w:t>This policy is distributed to all directors, employees, and consultants of Hillway Holdings Ltd (trading as Hillway Property Consultants). A copy is retained on the firm's shared drive and is available on request.</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