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Professional Indemnity</w:t>
        <w:br/>
        <w:t>Insurance Policy</w:t>
      </w:r>
    </w:p>
    <w:p>
      <w:pPr>
        <w:jc w:val="center"/>
      </w:pPr>
      <w:r>
        <w:rPr>
          <w:rFonts w:ascii="Calibri" w:hAnsi="Calibri"/>
          <w:color w:val="64748B"/>
          <w:sz w:val="28"/>
        </w:rPr>
        <w:t>Hillway Property Consultants</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 Property Consultants</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the framework by which Hillway Holdings Ltd, trading as Hillway Property Consultants ("the Firm"), maintains Professional Indemnity Insurance (PII), manages potential claims, and ensures that all personnel understand their obligations in relation to professional liability and the notification of circumstances that may give rise to a claim.</w:t>
      </w:r>
    </w:p>
    <w:p>
      <w:pPr>
        <w:spacing w:after="120"/>
      </w:pPr>
      <w:r>
        <w:t>This policy applies to all directors, employees, consultants, and any other person acting on behalf of the Firm in the provision of professional services. Compliance is mandatory. Failure to comply may jeopardise the Firm's insurance cover, expose individuals to personal liability, and result in disciplinary action.</w:t>
      </w:r>
    </w:p>
    <w:p>
      <w:pPr>
        <w:spacing w:after="120"/>
      </w:pPr>
      <w:r>
        <w:t>The Firm provides professional services including property management, building surveying, valuation, lease advisory, and property consultancy. Each of these services carries the potential for professional liability claims if services are not performed to the required standard.</w:t>
      </w:r>
    </w:p>
    <w:p>
      <w:pPr>
        <w:pStyle w:val="Heading1"/>
      </w:pPr>
      <w:r>
        <w:t>2. RICS Professional Indemnity Insurance Requirements</w:t>
      </w:r>
    </w:p>
    <w:p>
      <w:pPr>
        <w:spacing w:after="120"/>
      </w:pPr>
      <w:r>
        <w:t>As an RICS Regulated Firm, Hillway is required to maintain Professional Indemnity Insurance that meets the minimum requirements set by RICS. PII cover must be in place at all times and evidence of cover must be submitted to RICS annually as part of the Firm's regulatory compliance.</w:t>
      </w:r>
    </w:p>
    <w:p>
      <w:pPr>
        <w:spacing w:after="120"/>
      </w:pPr>
      <w:r>
        <w:t>The requirement for PII is not optional. A firm that does not maintain adequate PII is in breach of the RICS Rules of Conduct and may lose its status as an RICS Regulated Firm. Individual RICS members who practise without adequate PII cover are also in breach of their personal membership obligations.</w:t>
      </w:r>
    </w:p>
    <w:p>
      <w:pPr>
        <w:spacing w:after="120"/>
      </w:pPr>
      <w:r>
        <w:t>RICS specifies minimum levels of cover, the types of cover required, and the approved insurers and terms. The Firm's insurance must include cover for civil liability arising from the provision of professional services, including negligence, breach of duty, and misrepresentation.</w:t>
      </w:r>
    </w:p>
    <w:p>
      <w:pPr>
        <w:pStyle w:val="Heading1"/>
      </w:pPr>
      <w:r>
        <w:t>3. Scope of Cover</w:t>
      </w:r>
    </w:p>
    <w:p>
      <w:pPr>
        <w:spacing w:after="120"/>
      </w:pPr>
      <w:r>
        <w:t>The Firm's PII policy provides cover for the following:</w:t>
      </w:r>
    </w:p>
    <w:p>
      <w:pPr>
        <w:pStyle w:val="Heading2"/>
      </w:pPr>
      <w:r>
        <w:t>3.1 Professional Services Covered</w:t>
      </w:r>
    </w:p>
    <w:p>
      <w:pPr>
        <w:pStyle w:val="ListBullet"/>
        <w:spacing w:after="60"/>
      </w:pPr>
      <w:r>
        <w:t>Valuations: including valuations for secured lending, financial reporting, acquisition, disposal, and rating purposes.</w:t>
      </w:r>
    </w:p>
    <w:p>
      <w:pPr>
        <w:pStyle w:val="ListBullet"/>
        <w:spacing w:after="60"/>
      </w:pPr>
      <w:r>
        <w:t>Property management: including residential and commercial property management, service charge administration, and tenant liaison.</w:t>
      </w:r>
    </w:p>
    <w:p>
      <w:pPr>
        <w:pStyle w:val="ListBullet"/>
        <w:spacing w:after="60"/>
      </w:pPr>
      <w:r>
        <w:t>Building surveying: including building inspections, condition surveys, dilapidations assessments, and project monitoring.</w:t>
      </w:r>
    </w:p>
    <w:p>
      <w:pPr>
        <w:pStyle w:val="ListBullet"/>
        <w:spacing w:after="60"/>
      </w:pPr>
      <w:r>
        <w:t>Agency: including property sales, lettings, and acquisitions on behalf of clients.</w:t>
      </w:r>
    </w:p>
    <w:p>
      <w:pPr>
        <w:pStyle w:val="ListBullet"/>
        <w:spacing w:after="60"/>
      </w:pPr>
      <w:r>
        <w:t>Lease advisory: including rent reviews, lease renewals, and lease restructuring.</w:t>
      </w:r>
    </w:p>
    <w:p>
      <w:pPr>
        <w:pStyle w:val="ListBullet"/>
        <w:spacing w:after="60"/>
      </w:pPr>
      <w:r>
        <w:t>General property consultancy and advisory services.</w:t>
      </w:r>
    </w:p>
    <w:p>
      <w:pPr>
        <w:pStyle w:val="Heading2"/>
      </w:pPr>
      <w:r>
        <w:t>3.2 What Is Covered</w:t>
      </w:r>
    </w:p>
    <w:p>
      <w:pPr>
        <w:pStyle w:val="ListBullet"/>
        <w:spacing w:after="60"/>
      </w:pPr>
      <w:r>
        <w:t>Legal liability arising from breach of professional duty, including negligence, errors, and omissions in the provision of professional services.</w:t>
      </w:r>
    </w:p>
    <w:p>
      <w:pPr>
        <w:pStyle w:val="ListBullet"/>
        <w:spacing w:after="60"/>
      </w:pPr>
      <w:r>
        <w:t>Defence costs: the costs of investigating and defending claims, including legal fees and expert witness costs.</w:t>
      </w:r>
    </w:p>
    <w:p>
      <w:pPr>
        <w:pStyle w:val="ListBullet"/>
        <w:spacing w:after="60"/>
      </w:pPr>
      <w:r>
        <w:t>Damages and settlements: amounts payable to third parties in satisfaction of claims.</w:t>
      </w:r>
    </w:p>
    <w:p>
      <w:pPr>
        <w:pStyle w:val="Heading2"/>
      </w:pPr>
      <w:r>
        <w:t>3.3 Run-Off Cover</w:t>
      </w:r>
    </w:p>
    <w:p>
      <w:pPr>
        <w:spacing w:after="120"/>
      </w:pPr>
      <w:r>
        <w:t>In the event that the Firm ceases to trade, run-off PII cover must be maintained for a minimum period as required by RICS (typically 6 years). This ensures that claims arising from work undertaken while the Firm was active can still be covered. The Managing Director is responsible for ensuring that appropriate run-off arrangements are in place should the Firm cease trading.</w:t>
      </w:r>
    </w:p>
    <w:p>
      <w:r>
        <w:br w:type="page"/>
      </w:r>
    </w:p>
    <w:p>
      <w:pPr>
        <w:pStyle w:val="Heading1"/>
      </w:pPr>
      <w:r>
        <w:t>4. Minimum Cover Levels</w:t>
      </w:r>
    </w:p>
    <w:p>
      <w:pPr>
        <w:spacing w:after="120"/>
      </w:pPr>
      <w:r>
        <w:t>RICS specifies minimum levels of PII cover based on the Firm's annual fee income. The Firm must maintain cover at or above the applicable minimum level at all times.</w:t>
      </w:r>
    </w:p>
    <w:tbl>
      <w:tblPr>
        <w:tblStyle w:val="TableGrid"/>
        <w:tblW w:type="auto" w:w="0"/>
        <w:jc w:val="center"/>
        <w:tblLook w:firstColumn="1" w:firstRow="1" w:lastColumn="0" w:lastRow="0" w:noHBand="0" w:noVBand="1" w:val="04A0"/>
      </w:tblPr>
      <w:tblGrid>
        <w:gridCol w:w="4703"/>
        <w:gridCol w:w="4703"/>
      </w:tblGrid>
      <w:tr>
        <w:tc>
          <w:tcPr>
            <w:tcW w:type="dxa" w:w="3402"/>
            <w:shd w:fill="1E40AF"/>
          </w:tcPr>
          <w:p>
            <w:pPr>
              <w:jc w:val="left"/>
            </w:pPr>
            <w:r>
              <w:rPr>
                <w:rFonts w:ascii="Calibri" w:hAnsi="Calibri"/>
                <w:b/>
                <w:color w:val="FFFFFF"/>
                <w:sz w:val="20"/>
              </w:rPr>
              <w:t>Annual Fee Income</w:t>
            </w:r>
          </w:p>
        </w:tc>
        <w:tc>
          <w:tcPr>
            <w:tcW w:type="dxa" w:w="3402"/>
            <w:shd w:fill="1E40AF"/>
          </w:tcPr>
          <w:p>
            <w:pPr>
              <w:jc w:val="left"/>
            </w:pPr>
            <w:r>
              <w:rPr>
                <w:rFonts w:ascii="Calibri" w:hAnsi="Calibri"/>
                <w:b/>
                <w:color w:val="FFFFFF"/>
                <w:sz w:val="20"/>
              </w:rPr>
              <w:t>Minimum PII Cover Required</w:t>
            </w:r>
          </w:p>
        </w:tc>
      </w:tr>
      <w:tr>
        <w:tc>
          <w:tcPr>
            <w:tcW w:type="dxa" w:w="3402"/>
          </w:tcPr>
          <w:p>
            <w:r>
              <w:rPr>
                <w:rFonts w:ascii="Calibri" w:hAnsi="Calibri"/>
                <w:color w:val="333333"/>
                <w:sz w:val="20"/>
              </w:rPr>
              <w:t>Up to £100,000</w:t>
            </w:r>
          </w:p>
        </w:tc>
        <w:tc>
          <w:tcPr>
            <w:tcW w:type="dxa" w:w="3402"/>
          </w:tcPr>
          <w:p>
            <w:r>
              <w:rPr>
                <w:rFonts w:ascii="Calibri" w:hAnsi="Calibri"/>
                <w:color w:val="333333"/>
                <w:sz w:val="20"/>
              </w:rPr>
              <w:t>£250,000</w:t>
            </w:r>
          </w:p>
        </w:tc>
      </w:tr>
      <w:tr>
        <w:tc>
          <w:tcPr>
            <w:tcW w:type="dxa" w:w="3402"/>
          </w:tcPr>
          <w:p>
            <w:r>
              <w:rPr>
                <w:rFonts w:ascii="Calibri" w:hAnsi="Calibri"/>
                <w:color w:val="333333"/>
                <w:sz w:val="20"/>
              </w:rPr>
              <w:t>£100,001 to £200,000</w:t>
            </w:r>
          </w:p>
        </w:tc>
        <w:tc>
          <w:tcPr>
            <w:tcW w:type="dxa" w:w="3402"/>
          </w:tcPr>
          <w:p>
            <w:r>
              <w:rPr>
                <w:rFonts w:ascii="Calibri" w:hAnsi="Calibri"/>
                <w:color w:val="333333"/>
                <w:sz w:val="20"/>
              </w:rPr>
              <w:t>£500,000</w:t>
            </w:r>
          </w:p>
        </w:tc>
      </w:tr>
      <w:tr>
        <w:tc>
          <w:tcPr>
            <w:tcW w:type="dxa" w:w="3402"/>
          </w:tcPr>
          <w:p>
            <w:r>
              <w:rPr>
                <w:rFonts w:ascii="Calibri" w:hAnsi="Calibri"/>
                <w:color w:val="333333"/>
                <w:sz w:val="20"/>
              </w:rPr>
              <w:t>£200,001 to £500,000</w:t>
            </w:r>
          </w:p>
        </w:tc>
        <w:tc>
          <w:tcPr>
            <w:tcW w:type="dxa" w:w="3402"/>
          </w:tcPr>
          <w:p>
            <w:r>
              <w:rPr>
                <w:rFonts w:ascii="Calibri" w:hAnsi="Calibri"/>
                <w:color w:val="333333"/>
                <w:sz w:val="20"/>
              </w:rPr>
              <w:t>£1,000,000</w:t>
            </w:r>
          </w:p>
        </w:tc>
      </w:tr>
      <w:tr>
        <w:tc>
          <w:tcPr>
            <w:tcW w:type="dxa" w:w="3402"/>
          </w:tcPr>
          <w:p>
            <w:r>
              <w:rPr>
                <w:rFonts w:ascii="Calibri" w:hAnsi="Calibri"/>
                <w:color w:val="333333"/>
                <w:sz w:val="20"/>
              </w:rPr>
              <w:t>Over £500,000</w:t>
            </w:r>
          </w:p>
        </w:tc>
        <w:tc>
          <w:tcPr>
            <w:tcW w:type="dxa" w:w="3402"/>
          </w:tcPr>
          <w:p>
            <w:r>
              <w:rPr>
                <w:rFonts w:ascii="Calibri" w:hAnsi="Calibri"/>
                <w:color w:val="333333"/>
                <w:sz w:val="20"/>
              </w:rPr>
              <w:t>Per RICS requirements</w:t>
            </w:r>
          </w:p>
        </w:tc>
      </w:tr>
    </w:tbl>
    <w:p/>
    <w:p>
      <w:pPr>
        <w:spacing w:after="120"/>
      </w:pPr>
      <w:r>
        <w:t>The Managing Director reviews the Firm's PII cover annually to ensure it remains appropriate for the Firm's level of fee income and the nature of the services provided. The Firm may choose to maintain cover above the minimum required level where this is considered prudent.</w:t>
      </w:r>
    </w:p>
    <w:p>
      <w:pPr>
        <w:pStyle w:val="Heading1"/>
      </w:pPr>
      <w:r>
        <w:t>5. Notifiable Circumstances</w:t>
      </w:r>
    </w:p>
    <w:p>
      <w:pPr>
        <w:pStyle w:val="Heading2"/>
      </w:pPr>
      <w:r>
        <w:t>5.1 What Is a Circumstance?</w:t>
      </w:r>
    </w:p>
    <w:p>
      <w:pPr>
        <w:spacing w:after="120"/>
      </w:pPr>
      <w:r>
        <w:t>A "circumstance" is any incident, fact, matter, or event that may give rise to a claim against the Firm under its PII policy. The key word is "may" — a circumstance does not have to be a certain claim, it only has to be something that could potentially lead to a claim. The test is whether a reasonable person in the position of the professional would recognise the possibility of a claim arising.</w:t>
      </w:r>
    </w:p>
    <w:p>
      <w:pPr>
        <w:pStyle w:val="Heading2"/>
      </w:pPr>
      <w:r>
        <w:t>5.2 Examples in Property Context</w:t>
      </w:r>
    </w:p>
    <w:p>
      <w:pPr>
        <w:spacing w:after="120"/>
      </w:pPr>
      <w:r>
        <w:t>The following are examples of circumstances that may be notifiable:</w:t>
      </w:r>
    </w:p>
    <w:p>
      <w:pPr>
        <w:pStyle w:val="ListBullet"/>
        <w:spacing w:after="60"/>
      </w:pPr>
      <w:r>
        <w:t>A valuation is disputed by the client, the lender, or a third party.</w:t>
      </w:r>
    </w:p>
    <w:p>
      <w:pPr>
        <w:pStyle w:val="ListBullet"/>
        <w:spacing w:after="60"/>
      </w:pPr>
      <w:r>
        <w:t>A building defect is found that should have been identified during a survey or inspection.</w:t>
      </w:r>
    </w:p>
    <w:p>
      <w:pPr>
        <w:pStyle w:val="ListBullet"/>
        <w:spacing w:after="60"/>
      </w:pPr>
      <w:r>
        <w:t>A break clause or lease event is missed or acted upon incorrectly.</w:t>
      </w:r>
    </w:p>
    <w:p>
      <w:pPr>
        <w:pStyle w:val="ListBullet"/>
        <w:spacing w:after="60"/>
      </w:pPr>
      <w:r>
        <w:t>Rent review advice proves to be incorrect or results in a loss to the client.</w:t>
      </w:r>
    </w:p>
    <w:p>
      <w:pPr>
        <w:pStyle w:val="ListBullet"/>
        <w:spacing w:after="60"/>
      </w:pPr>
      <w:r>
        <w:t>A tenant or landlord complains about the quality of property management services.</w:t>
      </w:r>
    </w:p>
    <w:p>
      <w:pPr>
        <w:pStyle w:val="ListBullet"/>
        <w:spacing w:after="60"/>
      </w:pPr>
      <w:r>
        <w:t>An error in service charge calculations or apportionments.</w:t>
      </w:r>
    </w:p>
    <w:p>
      <w:pPr>
        <w:pStyle w:val="ListBullet"/>
        <w:spacing w:after="60"/>
      </w:pPr>
      <w:r>
        <w:t>Loss of or damage to client property or documents.</w:t>
      </w:r>
    </w:p>
    <w:p>
      <w:pPr>
        <w:pStyle w:val="ListBullet"/>
        <w:spacing w:after="60"/>
      </w:pPr>
      <w:r>
        <w:t>A third party alleges that the Firm's advice was negligent or caused them loss.</w:t>
      </w:r>
    </w:p>
    <w:p>
      <w:pPr>
        <w:pStyle w:val="ListBullet"/>
        <w:spacing w:after="60"/>
      </w:pPr>
      <w:r>
        <w:t>A regulatory complaint is made to RICS about the quality of the Firm's work.</w:t>
      </w:r>
    </w:p>
    <w:p>
      <w:pPr>
        <w:pStyle w:val="ListBullet"/>
        <w:spacing w:after="60"/>
      </w:pPr>
      <w:r>
        <w:t>Any threat of legal action, even if it seems speculative or unfounded.</w:t>
      </w:r>
    </w:p>
    <w:p>
      <w:pPr>
        <w:pStyle w:val="Heading2"/>
      </w:pPr>
      <w:r>
        <w:t>5.3 When to Notify</w:t>
      </w:r>
    </w:p>
    <w:p>
      <w:pPr>
        <w:spacing w:after="120"/>
      </w:pPr>
      <w:r>
        <w:t>Circumstances must be reported immediately upon the individual becoming aware of them. Delay in reporting may prejudice the Firm's insurance cover and may make the situation worse. Even if you are unsure whether something constitutes a notifiable circumstance, you should report it — it is better to over-report than to fail to report a genuine circumstance.</w:t>
      </w:r>
    </w:p>
    <w:p>
      <w:pPr>
        <w:pStyle w:val="Heading2"/>
      </w:pPr>
      <w:r>
        <w:t>5.4 Notification Procedure</w:t>
      </w:r>
    </w:p>
    <w:p>
      <w:pPr>
        <w:spacing w:after="120"/>
      </w:pPr>
      <w:r>
        <w:t>All circumstances must be reported to Matt Fitzgerald MRICS, Managing Director, in writing (email is acceptable). The report should include:</w:t>
      </w:r>
    </w:p>
    <w:p>
      <w:pPr>
        <w:pStyle w:val="ListBullet"/>
        <w:spacing w:after="60"/>
      </w:pPr>
      <w:r>
        <w:t>A description of the circumstance, including what happened and when.</w:t>
      </w:r>
    </w:p>
    <w:p>
      <w:pPr>
        <w:pStyle w:val="ListBullet"/>
        <w:spacing w:after="60"/>
      </w:pPr>
      <w:r>
        <w:t>The identity of the client and any relevant third parties.</w:t>
      </w:r>
    </w:p>
    <w:p>
      <w:pPr>
        <w:pStyle w:val="ListBullet"/>
        <w:spacing w:after="60"/>
      </w:pPr>
      <w:r>
        <w:t>The services provided and the relevant dates.</w:t>
      </w:r>
    </w:p>
    <w:p>
      <w:pPr>
        <w:pStyle w:val="ListBullet"/>
        <w:spacing w:after="60"/>
      </w:pPr>
      <w:r>
        <w:t>Any relevant correspondence or documentation.</w:t>
      </w:r>
    </w:p>
    <w:p>
      <w:pPr>
        <w:pStyle w:val="ListBullet"/>
        <w:spacing w:after="60"/>
      </w:pPr>
      <w:r>
        <w:t>An assessment of the potential financial exposure, if known.</w:t>
      </w:r>
    </w:p>
    <w:p>
      <w:pPr>
        <w:spacing w:after="120"/>
      </w:pPr>
      <w:r>
        <w:t>The Managing Director will assess the report and determine whether to notify the Firm's PII insurer. In cases of doubt, the Managing Director will notify the insurer as a precaution.</w:t>
      </w:r>
    </w:p>
    <w:p>
      <w:pPr>
        <w:pStyle w:val="Heading1"/>
      </w:pPr>
      <w:r>
        <w:t>6. Claims Procedure</w:t>
      </w:r>
    </w:p>
    <w:p>
      <w:pPr>
        <w:spacing w:after="120"/>
      </w:pPr>
      <w:r>
        <w:t>Where a claim is made against the Firm, or where a notified circumstance develops into a claim, the following procedure must be followed strictly. Non-compliance may void the Firm's insurance cover.</w:t>
      </w:r>
    </w:p>
    <w:p>
      <w:pPr>
        <w:pStyle w:val="Heading2"/>
      </w:pPr>
      <w:r>
        <w:t>6.1 Do NOT Admit Liability</w:t>
      </w:r>
    </w:p>
    <w:p>
      <w:pPr>
        <w:spacing w:after="120"/>
      </w:pPr>
      <w:r>
        <w:t>Under no circumstances should any person admit liability, express regret or apology for the Firm's services, or make any statement that could be construed as an admission of fault. This includes verbal statements, emails, letters, and any other form of communication. Even informal comments such as "I'm sorry that happened" could be used against the Firm. If in doubt, say nothing and refer the matter to the Managing Director.</w:t>
      </w:r>
    </w:p>
    <w:p>
      <w:pPr>
        <w:pStyle w:val="Heading2"/>
      </w:pPr>
      <w:r>
        <w:t>6.2 Do NOT Offer Settlement</w:t>
      </w:r>
    </w:p>
    <w:p>
      <w:pPr>
        <w:spacing w:after="120"/>
      </w:pPr>
      <w:r>
        <w:t>No person should make any offer of settlement, compensation, or remedial action to the claimant or their representatives without the prior written consent of the Firm's insurer. Any such offer, even if well-intentioned, may prejudice the Firm's insurance cover and the insurer's ability to defend the claim.</w:t>
      </w:r>
    </w:p>
    <w:p>
      <w:pPr>
        <w:pStyle w:val="Heading2"/>
      </w:pPr>
      <w:r>
        <w:t>6.3 Do NOT Communicate About the Claim</w:t>
      </w:r>
    </w:p>
    <w:p>
      <w:pPr>
        <w:spacing w:after="120"/>
      </w:pPr>
      <w:r>
        <w:t>All communication with the claimant or their representatives about the claim must be handled by the Managing Director and/or the Firm's insurer or their appointed solicitors. No other person should correspond with the claimant about the claim in any way.</w:t>
      </w:r>
    </w:p>
    <w:p>
      <w:pPr>
        <w:pStyle w:val="Heading2"/>
      </w:pPr>
      <w:r>
        <w:t>6.4 Notify Insurer Immediately</w:t>
      </w:r>
    </w:p>
    <w:p>
      <w:pPr>
        <w:spacing w:after="120"/>
      </w:pPr>
      <w:r>
        <w:t>The Managing Director must notify the Firm's PII insurer of any claim or notifiable circumstance as soon as possible and in any event within the timeframe required by the policy (typically within a few working days of becoming aware of the matter). Late notification may prejudice or void the Firm's cover.</w:t>
      </w:r>
    </w:p>
    <w:p>
      <w:pPr>
        <w:pStyle w:val="Heading2"/>
      </w:pPr>
      <w:r>
        <w:t>6.5 Cooperate Fully</w:t>
      </w:r>
    </w:p>
    <w:p>
      <w:pPr>
        <w:spacing w:after="120"/>
      </w:pPr>
      <w:r>
        <w:t>All personnel must cooperate fully with the insurer's investigation, including providing documents, attending meetings and interviews, and providing witness statements as required. Failure to cooperate may prejudice the Firm's cover.</w:t>
      </w:r>
    </w:p>
    <w:p>
      <w:pPr>
        <w:pStyle w:val="Heading2"/>
      </w:pPr>
      <w:r>
        <w:t>6.6 Preserve Documents</w:t>
      </w:r>
    </w:p>
    <w:p>
      <w:pPr>
        <w:spacing w:after="120"/>
      </w:pPr>
      <w:r>
        <w:t>All documents relating to the matter — including files, correspondence (hard copy and electronic), notes, photographs, and any other materials — must be preserved in their entirety. No documents should be altered, destroyed, or deleted. A document hold notice will be issued by the Managing Director where appropriate.</w:t>
      </w:r>
    </w:p>
    <w:p>
      <w:r>
        <w:br w:type="page"/>
      </w:r>
    </w:p>
    <w:p>
      <w:pPr>
        <w:pStyle w:val="Heading1"/>
      </w:pPr>
      <w:r>
        <w:t>7. Employee Obligations</w:t>
      </w:r>
    </w:p>
    <w:p>
      <w:pPr>
        <w:spacing w:after="120"/>
      </w:pPr>
      <w:r>
        <w:t>All directors, employees, and consultants have the following obligations:</w:t>
      </w:r>
    </w:p>
    <w:p>
      <w:pPr>
        <w:pStyle w:val="Heading2"/>
      </w:pPr>
      <w:r>
        <w:t>7.1 Act Within Scope</w:t>
      </w:r>
    </w:p>
    <w:p>
      <w:pPr>
        <w:spacing w:after="120"/>
      </w:pPr>
      <w:r>
        <w:t>Only act within your level of competence and authority. Do not undertake work or give advice that is beyond your experience, qualifications, or the scope of your authorised activities. If you are unsure whether a matter is within your scope, ask your line manager or the Managing Director.</w:t>
      </w:r>
    </w:p>
    <w:p>
      <w:pPr>
        <w:pStyle w:val="Heading2"/>
      </w:pPr>
      <w:r>
        <w:t>7.2 Maintain Accurate Records</w:t>
      </w:r>
    </w:p>
    <w:p>
      <w:pPr>
        <w:spacing w:after="120"/>
      </w:pPr>
      <w:r>
        <w:t>Maintain accurate and comprehensive records of all work undertaken, including file notes of conversations, meeting notes, inspection notes, measurement records, and all correspondence. Good record keeping is the Firm's best defence in the event of a claim.</w:t>
      </w:r>
    </w:p>
    <w:p>
      <w:pPr>
        <w:pStyle w:val="Heading2"/>
      </w:pPr>
      <w:r>
        <w:t>7.3 Follow Firm Procedures</w:t>
      </w:r>
    </w:p>
    <w:p>
      <w:pPr>
        <w:spacing w:after="120"/>
      </w:pPr>
      <w:r>
        <w:t>Comply with all of the Firm's policies, procedures, and quality assurance requirements. These procedures are designed to minimise the risk of errors and to protect both the Firm and its clients.</w:t>
      </w:r>
    </w:p>
    <w:p>
      <w:pPr>
        <w:pStyle w:val="Heading2"/>
      </w:pPr>
      <w:r>
        <w:t>7.4 Report Potential Claims Immediately</w:t>
      </w:r>
    </w:p>
    <w:p>
      <w:pPr>
        <w:spacing w:after="120"/>
      </w:pPr>
      <w:r>
        <w:t>Report any circumstance that may give rise to a claim to the Managing Director immediately, in accordance with section 5 of this policy. Do not attempt to resolve the matter yourself or to "wait and see" if it develops into a claim.</w:t>
      </w:r>
    </w:p>
    <w:p>
      <w:pPr>
        <w:pStyle w:val="Heading2"/>
      </w:pPr>
      <w:r>
        <w:t>7.5 Cooperate with Investigations</w:t>
      </w:r>
    </w:p>
    <w:p>
      <w:pPr>
        <w:spacing w:after="120"/>
      </w:pPr>
      <w:r>
        <w:t>Cooperate fully with any investigation, whether internal or by the insurer, into a claim or potential claim. This includes providing honest and complete information, attending meetings, and providing witness statements.</w:t>
      </w:r>
    </w:p>
    <w:p>
      <w:pPr>
        <w:pStyle w:val="Heading2"/>
      </w:pPr>
      <w:r>
        <w:t>7.6 Never Destroy Relevant Documents</w:t>
      </w:r>
    </w:p>
    <w:p>
      <w:pPr>
        <w:spacing w:after="120"/>
      </w:pPr>
      <w:r>
        <w:t>Never alter, destroy, or delete any document that may be relevant to a claim or potential claim. This includes electronic documents, emails, and text messages. Destruction of evidence may constitute a criminal offence and will certainly prejudice the Firm's defence.</w:t>
      </w:r>
    </w:p>
    <w:p>
      <w:pPr>
        <w:pStyle w:val="Heading1"/>
      </w:pPr>
      <w:r>
        <w:t>8. Scope of Authority and Competence</w:t>
      </w:r>
    </w:p>
    <w:p>
      <w:pPr>
        <w:pStyle w:val="Heading2"/>
      </w:pPr>
      <w:r>
        <w:t>8.1 General Principle</w:t>
      </w:r>
    </w:p>
    <w:p>
      <w:pPr>
        <w:spacing w:after="120"/>
      </w:pPr>
      <w:r>
        <w:t>All personnel must only act within their level of competence and authority. The Firm assigns authority levels based on qualifications, experience, and demonstrated competence. Acting outside your authority or competence level without supervision increases the risk of errors and potential claims.</w:t>
      </w:r>
    </w:p>
    <w:p>
      <w:pPr>
        <w:pStyle w:val="Heading2"/>
      </w:pPr>
      <w:r>
        <w:t>8.2 Seeking Supervision</w:t>
      </w:r>
    </w:p>
    <w:p>
      <w:pPr>
        <w:spacing w:after="120"/>
      </w:pPr>
      <w:r>
        <w:t>If you encounter a matter that is unfamiliar, complex, or outside your normal scope of work, you must seek guidance from a senior colleague or the Managing Director before proceeding. There is no criticism attached to asking for help — in fact, it is expected and encouraged.</w:t>
      </w:r>
    </w:p>
    <w:p>
      <w:pPr>
        <w:pStyle w:val="Heading2"/>
      </w:pPr>
      <w:r>
        <w:t>8.3 Referral of Complex Matters</w:t>
      </w:r>
    </w:p>
    <w:p>
      <w:pPr>
        <w:spacing w:after="120"/>
      </w:pPr>
      <w:r>
        <w:t>Complex or high-value matters should be referred to appropriately experienced personnel. In particular, matters involving valuations for secured lending, dilapidations claims of significant value, and lease negotiations with material financial implications should be handled by or supervised by a director.</w:t>
      </w:r>
    </w:p>
    <w:p>
      <w:pPr>
        <w:pStyle w:val="Heading2"/>
      </w:pPr>
      <w:r>
        <w:t>8.4 Sign-Off Requirements</w:t>
      </w:r>
    </w:p>
    <w:p>
      <w:pPr>
        <w:spacing w:after="120"/>
      </w:pPr>
      <w:r>
        <w:t>The following types of work require sign-off by a director before issue:</w:t>
      </w:r>
    </w:p>
    <w:p>
      <w:pPr>
        <w:pStyle w:val="ListBullet"/>
        <w:spacing w:after="60"/>
      </w:pPr>
      <w:r>
        <w:t>All formal valuations, whether for secured lending, accounts, acquisition, disposal, or any other purpose.</w:t>
      </w:r>
    </w:p>
    <w:p>
      <w:pPr>
        <w:pStyle w:val="ListBullet"/>
        <w:spacing w:after="60"/>
      </w:pPr>
      <w:r>
        <w:t>All formal reports, including building survey reports, condition reports, and dilapidations assessments.</w:t>
      </w:r>
    </w:p>
    <w:p>
      <w:pPr>
        <w:pStyle w:val="ListBullet"/>
        <w:spacing w:after="60"/>
      </w:pPr>
      <w:r>
        <w:t>All formal written advice on lease terms, rent reviews, lease renewals, and break options.</w:t>
      </w:r>
    </w:p>
    <w:p>
      <w:pPr>
        <w:pStyle w:val="ListBullet"/>
        <w:spacing w:after="60"/>
      </w:pPr>
      <w:r>
        <w:t>Any correspondence that could give rise to a contractual commitment on behalf of a client.</w:t>
      </w:r>
    </w:p>
    <w:p>
      <w:pPr>
        <w:pStyle w:val="ListBullet"/>
        <w:spacing w:after="60"/>
      </w:pPr>
      <w:r>
        <w:t>Any communication with a client or third party that relates to a complaint or potential claim.</w:t>
      </w:r>
    </w:p>
    <w:p>
      <w:r>
        <w:br w:type="page"/>
      </w:r>
    </w:p>
    <w:p>
      <w:pPr>
        <w:pStyle w:val="Heading1"/>
      </w:pPr>
      <w:r>
        <w:t>9. Prevention</w:t>
      </w:r>
    </w:p>
    <w:p>
      <w:pPr>
        <w:spacing w:after="120"/>
      </w:pPr>
      <w:r>
        <w:t>Prevention is better than cure. The Firm has adopted the following measures to minimise the risk of claims arising:</w:t>
      </w:r>
    </w:p>
    <w:p>
      <w:pPr>
        <w:pStyle w:val="Heading2"/>
      </w:pPr>
      <w:r>
        <w:t>9.1 Terms of Engagement</w:t>
      </w:r>
    </w:p>
    <w:p>
      <w:pPr>
        <w:spacing w:after="120"/>
      </w:pPr>
      <w:r>
        <w:t>The Firm issues written terms of engagement for all new instructions. Terms of engagement clearly set out the scope of services, limitations, fees, the client's responsibilities, and the Firm's complaints handling procedure. Terms must be agreed and signed before work commences. Clear terms of engagement are the single most important risk management tool — they set expectations and define the boundaries of the Firm's liability.</w:t>
      </w:r>
    </w:p>
    <w:p>
      <w:pPr>
        <w:pStyle w:val="Heading2"/>
      </w:pPr>
      <w:r>
        <w:t>9.2 File Management Standards</w:t>
      </w:r>
    </w:p>
    <w:p>
      <w:pPr>
        <w:spacing w:after="120"/>
      </w:pPr>
      <w:r>
        <w:t>All files must be maintained in accordance with the Firm's file management procedures. Files must be complete, well-organised, and easily navigable. Key documents (terms of engagement, instructions, reports, and significant correspondence) must be easily identifiable. Electronic files must be saved in the Firm's document management system.</w:t>
      </w:r>
    </w:p>
    <w:p>
      <w:pPr>
        <w:pStyle w:val="Heading2"/>
      </w:pPr>
      <w:r>
        <w:t>9.3 Quality Assurance Reviews</w:t>
      </w:r>
    </w:p>
    <w:p>
      <w:pPr>
        <w:spacing w:after="120"/>
      </w:pPr>
      <w:r>
        <w:t>The Firm conducts periodic quality assurance reviews of live files and completed work. The purpose of these reviews is to identify any issues with service quality, compliance with procedures, or risk management before they develop into problems. Findings are discussed with the relevant personnel and any necessary corrective actions are implemented.</w:t>
      </w:r>
    </w:p>
    <w:p>
      <w:pPr>
        <w:pStyle w:val="Heading2"/>
      </w:pPr>
      <w:r>
        <w:t>9.4 Supervision Framework</w:t>
      </w:r>
    </w:p>
    <w:p>
      <w:pPr>
        <w:spacing w:after="120"/>
      </w:pPr>
      <w:r>
        <w:t>All work is subject to appropriate supervision based on the complexity of the instruction and the experience of the person carrying out the work. Junior staff and trainees receive close supervision, with all work reviewed by a senior colleague before issue. More experienced staff may work with greater autonomy but remain subject to peer review and periodic file audits.</w:t>
      </w:r>
    </w:p>
    <w:p>
      <w:pPr>
        <w:pStyle w:val="Heading2"/>
      </w:pPr>
      <w:r>
        <w:t>9.5 Continuing Professional Development</w:t>
      </w:r>
    </w:p>
    <w:p>
      <w:pPr>
        <w:spacing w:after="120"/>
      </w:pPr>
      <w:r>
        <w:t>All professional staff maintain their competence through CPD in accordance with RICS requirements and the Firm's CPD policy. The Firm supports CPD through funding, time allocation, and in-house training sessions. CPD is a key component of risk management, ensuring that staff are up to date with current standards, legislation, and best practice.</w:t>
      </w:r>
    </w:p>
    <w:p>
      <w:pPr>
        <w:pStyle w:val="Heading1"/>
      </w:pPr>
      <w:r>
        <w:t>10. Annual Renewal</w:t>
      </w:r>
    </w:p>
    <w:p>
      <w:pPr>
        <w:pStyle w:val="Heading2"/>
      </w:pPr>
      <w:r>
        <w:t>10.1 Renewal Process</w:t>
      </w:r>
    </w:p>
    <w:p>
      <w:pPr>
        <w:spacing w:after="120"/>
      </w:pPr>
      <w:r>
        <w:t>The Firm's PII policy is renewed annually. The Managing Director is responsible for managing the renewal process, which includes: reviewing the Firm's insurance needs (cover level, scope of services, retroactive date); preparing the proposal form with accurate and complete information; engaging with the Firm's insurance broker to obtain competitive quotations; and completing the renewal before the expiry of the current policy.</w:t>
      </w:r>
    </w:p>
    <w:p>
      <w:pPr>
        <w:pStyle w:val="Heading2"/>
      </w:pPr>
      <w:r>
        <w:t>10.2 Broker Engagement</w:t>
      </w:r>
    </w:p>
    <w:p>
      <w:pPr>
        <w:spacing w:after="120"/>
      </w:pPr>
      <w:r>
        <w:t>The Firm engages a specialist PII insurance broker to assist with the placement and renewal of cover. The broker provides advice on the appropriate level of cover, policy terms, and market conditions. The Managing Director is the principal contact with the broker.</w:t>
      </w:r>
    </w:p>
    <w:p>
      <w:pPr>
        <w:pStyle w:val="Heading2"/>
      </w:pPr>
      <w:r>
        <w:t>10.3 RICS Notification</w:t>
      </w:r>
    </w:p>
    <w:p>
      <w:pPr>
        <w:spacing w:after="120"/>
      </w:pPr>
      <w:r>
        <w:t>Following each renewal, the Firm must provide evidence of PII cover to RICS as part of its annual regulatory compliance. This typically involves submitting a copy of the certificate of insurance or confirmation from the broker. The Managing Director is responsible for ensuring this is done on time.</w:t>
      </w:r>
    </w:p>
    <w:p>
      <w:pPr>
        <w:pStyle w:val="Heading2"/>
      </w:pPr>
      <w:r>
        <w:t>10.4 Material Changes</w:t>
      </w:r>
    </w:p>
    <w:p>
      <w:pPr>
        <w:spacing w:after="120"/>
      </w:pPr>
      <w:r>
        <w:t>If there are material changes to the Firm's business during the policy year (such as new service lines, significant changes in fee income, or changes in the Firm's structure), the Managing Director must notify the insurer and broker to ensure that the Firm's cover remains adequate.</w:t>
      </w:r>
    </w:p>
    <w:p>
      <w:pPr>
        <w:pStyle w:val="Heading1"/>
      </w:pPr>
      <w:r>
        <w:t>11. Consequences of Non-Compliance</w:t>
      </w:r>
    </w:p>
    <w:p>
      <w:pPr>
        <w:spacing w:after="120"/>
      </w:pPr>
      <w:r>
        <w:t>Non-compliance with this policy may result in:</w:t>
      </w:r>
    </w:p>
    <w:p>
      <w:pPr>
        <w:pStyle w:val="ListBullet"/>
        <w:spacing w:after="60"/>
      </w:pPr>
      <w:r>
        <w:t>The Firm's PII cover being voided or restricted, leaving the Firm and/or individual exposed to uninsured claims.</w:t>
      </w:r>
    </w:p>
    <w:p>
      <w:pPr>
        <w:pStyle w:val="ListBullet"/>
        <w:spacing w:after="60"/>
      </w:pPr>
      <w:r>
        <w:t>Personal liability for the individual concerned if the insurer declines to cover a claim due to non-compliance with policy conditions.</w:t>
      </w:r>
    </w:p>
    <w:p>
      <w:pPr>
        <w:pStyle w:val="ListBullet"/>
        <w:spacing w:after="60"/>
      </w:pPr>
      <w:r>
        <w:t>Internal disciplinary action, which may include verbal or written warnings, suspension, or dismissal.</w:t>
      </w:r>
    </w:p>
    <w:p>
      <w:pPr>
        <w:pStyle w:val="ListBullet"/>
        <w:spacing w:after="60"/>
      </w:pPr>
      <w:r>
        <w:t>RICS disciplinary proceedings if failure to maintain adequate PII or failure to report circumstances is found to be a breach of the Rules of Conduct.</w:t>
      </w:r>
    </w:p>
    <w:p>
      <w:pPr>
        <w:pStyle w:val="ListBullet"/>
        <w:spacing w:after="60"/>
      </w:pPr>
      <w:r>
        <w:t>Reputational damage to the Firm.</w:t>
      </w:r>
    </w:p>
    <w:p>
      <w:pPr>
        <w:spacing w:after="120"/>
      </w:pPr>
      <w:r>
        <w:t>The Firm takes claims management and PII compliance extremely seriously. Failure to report a notifiable circumstance is treated as gross misconduct, regardless of the outcome. The importance of early reporting cannot be overstated — insurance policies are designed to cover circumstances notified during the policy period, and late notification may mean a claim is not covered.</w:t>
      </w:r>
    </w:p>
    <w:p>
      <w:r>
        <w:br w:type="page"/>
      </w:r>
    </w:p>
    <w:p>
      <w:pPr>
        <w:pStyle w:val="Heading1"/>
      </w:pPr>
      <w:r>
        <w:t>Document Control</w:t>
      </w:r>
    </w:p>
    <w:p>
      <w:pPr>
        <w:spacing w:after="120"/>
      </w:pPr>
      <w:r>
        <w:t>This document is subject to the following version control:</w:t>
      </w:r>
    </w:p>
    <w:p>
      <w:pPr>
        <w:pStyle w:val="Heading2"/>
      </w:pPr>
      <w: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E40AF"/>
          </w:tcPr>
          <w:p>
            <w:pPr>
              <w:jc w:val="left"/>
            </w:pPr>
            <w:r>
              <w:rPr>
                <w:rFonts w:ascii="Calibri" w:hAnsi="Calibri"/>
                <w:b/>
                <w:color w:val="FFFFFF"/>
                <w:sz w:val="20"/>
              </w:rPr>
              <w:t>Version</w:t>
            </w:r>
          </w:p>
        </w:tc>
        <w:tc>
          <w:tcPr>
            <w:tcW w:type="dxa" w:w="1701"/>
            <w:shd w:fill="1E40AF"/>
          </w:tcPr>
          <w:p>
            <w:pPr>
              <w:jc w:val="left"/>
            </w:pPr>
            <w:r>
              <w:rPr>
                <w:rFonts w:ascii="Calibri" w:hAnsi="Calibri"/>
                <w:b/>
                <w:color w:val="FFFFFF"/>
                <w:sz w:val="20"/>
              </w:rPr>
              <w:t>Date</w:t>
            </w:r>
          </w:p>
        </w:tc>
        <w:tc>
          <w:tcPr>
            <w:tcW w:type="dxa" w:w="2835"/>
            <w:shd w:fill="1E40AF"/>
          </w:tcPr>
          <w:p>
            <w:pPr>
              <w:jc w:val="left"/>
            </w:pPr>
            <w:r>
              <w:rPr>
                <w:rFonts w:ascii="Calibri" w:hAnsi="Calibri"/>
                <w:b/>
                <w:color w:val="FFFFFF"/>
                <w:sz w:val="20"/>
              </w:rPr>
              <w:t>Author</w:t>
            </w:r>
          </w:p>
        </w:tc>
        <w:tc>
          <w:tcPr>
            <w:tcW w:type="dxa" w:w="3402"/>
            <w:shd w:fill="1E40AF"/>
          </w:tcPr>
          <w:p>
            <w:pPr>
              <w:jc w:val="left"/>
            </w:pPr>
            <w:r>
              <w:rPr>
                <w:rFonts w:ascii="Calibri" w:hAnsi="Calibri"/>
                <w:b/>
                <w:color w:val="FFFFFF"/>
                <w:sz w:val="20"/>
              </w:rPr>
              <w:t>Description</w:t>
            </w:r>
          </w:p>
        </w:tc>
      </w:tr>
      <w:tr>
        <w:tc>
          <w:tcPr>
            <w:tcW w:type="dxa" w:w="1134"/>
          </w:tcPr>
          <w:p>
            <w:r>
              <w:rPr>
                <w:rFonts w:ascii="Calibri" w:hAnsi="Calibri"/>
                <w:color w:val="333333"/>
                <w:sz w:val="20"/>
              </w:rPr>
              <w:t>1.0</w:t>
            </w:r>
          </w:p>
        </w:tc>
        <w:tc>
          <w:tcPr>
            <w:tcW w:type="dxa" w:w="1701"/>
          </w:tcPr>
          <w:p>
            <w:r>
              <w:rPr>
                <w:rFonts w:ascii="Calibri" w:hAnsi="Calibri"/>
                <w:color w:val="333333"/>
                <w:sz w:val="20"/>
              </w:rPr>
              <w:t>February 2026</w:t>
            </w:r>
          </w:p>
        </w:tc>
        <w:tc>
          <w:tcPr>
            <w:tcW w:type="dxa" w:w="2835"/>
          </w:tcPr>
          <w:p>
            <w:r>
              <w:rPr>
                <w:rFonts w:ascii="Calibri" w:hAnsi="Calibri"/>
                <w:color w:val="333333"/>
                <w:sz w:val="20"/>
              </w:rPr>
              <w:t>Matt Fitzgerald MRICS</w:t>
            </w:r>
          </w:p>
        </w:tc>
        <w:tc>
          <w:tcPr>
            <w:tcW w:type="dxa" w:w="3402"/>
          </w:tcPr>
          <w:p>
            <w:r>
              <w:rPr>
                <w:rFonts w:ascii="Calibri" w:hAnsi="Calibri"/>
                <w:color w:val="333333"/>
                <w:sz w:val="20"/>
              </w:rPr>
              <w:t>Initial issue</w:t>
            </w:r>
          </w:p>
        </w:tc>
      </w:tr>
    </w:tbl>
    <w:p/>
    <w:p>
      <w:pPr>
        <w:pStyle w:val="Heading2"/>
      </w:pPr>
      <w:r>
        <w:t>Approval</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E40AF"/>
          </w:tcPr>
          <w:p>
            <w:pPr>
              <w:jc w:val="left"/>
            </w:pPr>
            <w:r>
              <w:rPr>
                <w:rFonts w:ascii="Calibri" w:hAnsi="Calibri"/>
                <w:b/>
                <w:color w:val="FFFFFF"/>
                <w:sz w:val="20"/>
              </w:rPr>
              <w:t>Name</w:t>
            </w:r>
          </w:p>
        </w:tc>
        <w:tc>
          <w:tcPr>
            <w:tcW w:type="dxa" w:w="2835"/>
            <w:shd w:fill="1E40AF"/>
          </w:tcPr>
          <w:p>
            <w:pPr>
              <w:jc w:val="left"/>
            </w:pPr>
            <w:r>
              <w:rPr>
                <w:rFonts w:ascii="Calibri" w:hAnsi="Calibri"/>
                <w:b/>
                <w:color w:val="FFFFFF"/>
                <w:sz w:val="20"/>
              </w:rPr>
              <w:t>Role</w:t>
            </w:r>
          </w:p>
        </w:tc>
        <w:tc>
          <w:tcPr>
            <w:tcW w:type="dxa" w:w="2268"/>
            <w:shd w:fill="1E40AF"/>
          </w:tcPr>
          <w:p>
            <w:pPr>
              <w:jc w:val="left"/>
            </w:pPr>
            <w:r>
              <w:rPr>
                <w:rFonts w:ascii="Calibri" w:hAnsi="Calibri"/>
                <w:b/>
                <w:color w:val="FFFFFF"/>
                <w:sz w:val="20"/>
              </w:rPr>
              <w:t>Date</w:t>
            </w:r>
          </w:p>
        </w:tc>
      </w:tr>
      <w:tr>
        <w:tc>
          <w:tcPr>
            <w:tcW w:type="dxa" w:w="2835"/>
          </w:tcPr>
          <w:p>
            <w:r>
              <w:rPr>
                <w:rFonts w:ascii="Calibri" w:hAnsi="Calibri"/>
                <w:color w:val="333333"/>
                <w:sz w:val="20"/>
              </w:rPr>
              <w:t>Matt Fitzgerald MRICS</w:t>
            </w:r>
          </w:p>
        </w:tc>
        <w:tc>
          <w:tcPr>
            <w:tcW w:type="dxa" w:w="2835"/>
          </w:tcPr>
          <w:p>
            <w:r>
              <w:rPr>
                <w:rFonts w:ascii="Calibri" w:hAnsi="Calibri"/>
                <w:color w:val="333333"/>
                <w:sz w:val="20"/>
              </w:rPr>
              <w:t>Managing Director</w:t>
            </w:r>
          </w:p>
        </w:tc>
        <w:tc>
          <w:tcPr>
            <w:tcW w:type="dxa" w:w="2268"/>
          </w:tcPr>
          <w:p>
            <w:r>
              <w:rPr>
                <w:rFonts w:ascii="Calibri" w:hAnsi="Calibri"/>
                <w:color w:val="333333"/>
                <w:sz w:val="20"/>
              </w:rPr>
              <w:t>February 2026</w:t>
            </w:r>
          </w:p>
        </w:tc>
      </w:tr>
      <w:tr>
        <w:tc>
          <w:tcPr>
            <w:tcW w:type="dxa" w:w="2835"/>
          </w:tcPr>
          <w:p>
            <w:r>
              <w:rPr>
                <w:rFonts w:ascii="Calibri" w:hAnsi="Calibri"/>
                <w:color w:val="333333"/>
                <w:sz w:val="20"/>
              </w:rPr>
              <w:t>Jamie Smyth MRICS</w:t>
            </w:r>
          </w:p>
        </w:tc>
        <w:tc>
          <w:tcPr>
            <w:tcW w:type="dxa" w:w="2835"/>
          </w:tcPr>
          <w:p>
            <w:r>
              <w:rPr>
                <w:rFonts w:ascii="Calibri" w:hAnsi="Calibri"/>
                <w:color w:val="333333"/>
                <w:sz w:val="20"/>
              </w:rPr>
              <w:t>Director</w:t>
            </w:r>
          </w:p>
        </w:tc>
        <w:tc>
          <w:tcPr>
            <w:tcW w:type="dxa" w:w="2268"/>
          </w:tcPr>
          <w:p>
            <w:r>
              <w:rPr>
                <w:rFonts w:ascii="Calibri" w:hAnsi="Calibri"/>
                <w:color w:val="333333"/>
                <w:sz w:val="20"/>
              </w:rPr>
              <w:t>February 2026</w:t>
            </w:r>
          </w:p>
        </w:tc>
      </w:tr>
    </w:tbl>
    <w:p/>
    <w:p>
      <w:pPr>
        <w:pStyle w:val="Heading2"/>
      </w:pPr>
      <w:r>
        <w:t>Review Schedule</w:t>
      </w:r>
    </w:p>
    <w:p>
      <w:pPr>
        <w:spacing w:after="120"/>
      </w:pPr>
      <w:r>
        <w:t>This policy shall be reviewed at least annually, or sooner if there are relevant changes in legislation, regulation, or business operations.</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Next Review Date</w:t>
            </w:r>
          </w:p>
        </w:tc>
        <w:tc>
          <w:tcPr>
            <w:tcW w:type="dxa" w:w="4535"/>
            <w:shd w:fill="1E40AF"/>
          </w:tcPr>
          <w:p>
            <w:pPr>
              <w:jc w:val="left"/>
            </w:pPr>
            <w:r>
              <w:rPr>
                <w:rFonts w:ascii="Calibri" w:hAnsi="Calibri"/>
                <w:b/>
                <w:color w:val="FFFFFF"/>
                <w:sz w:val="20"/>
              </w:rPr>
              <w:t>Review Owner</w:t>
            </w:r>
          </w:p>
        </w:tc>
      </w:tr>
      <w:tr>
        <w:tc>
          <w:tcPr>
            <w:tcW w:type="dxa" w:w="2835"/>
          </w:tcPr>
          <w:p>
            <w:r>
              <w:rPr>
                <w:rFonts w:ascii="Calibri" w:hAnsi="Calibri"/>
                <w:color w:val="333333"/>
                <w:sz w:val="20"/>
              </w:rPr>
              <w:t>February 2027</w:t>
            </w:r>
          </w:p>
        </w:tc>
        <w:tc>
          <w:tcPr>
            <w:tcW w:type="dxa" w:w="4535"/>
          </w:tcPr>
          <w:p>
            <w:r>
              <w:rPr>
                <w:rFonts w:ascii="Calibri" w:hAnsi="Calibri"/>
                <w:color w:val="333333"/>
                <w:sz w:val="20"/>
              </w:rPr>
              <w:t>Matt Fitzgerald MRICS</w:t>
            </w:r>
          </w:p>
        </w:tc>
      </w:tr>
    </w:tbl>
    <w:p/>
    <w:p>
      <w:pPr>
        <w:pStyle w:val="Heading2"/>
      </w:pPr>
      <w:r>
        <w:t>Distribution</w:t>
      </w:r>
    </w:p>
    <w:p>
      <w:pPr>
        <w:spacing w:after="120"/>
      </w:pPr>
      <w:r>
        <w:t>This policy is distributed to all directors, employees, and consultants of Hillway Holdings Ltd (trading as Hillway Property Consultants). A copy is retained on the firm's shared drive and is available on request.</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