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drawing>
          <wp:inline xmlns:a="http://schemas.openxmlformats.org/drawingml/2006/main" xmlns:pic="http://schemas.openxmlformats.org/drawingml/2006/picture">
            <wp:extent cx="2286000" cy="1514475"/>
            <wp:docPr id="1" name="Picture 1"/>
            <wp:cNvGraphicFramePr>
              <a:graphicFrameLocks noChangeAspect="1"/>
            </wp:cNvGraphicFramePr>
            <a:graphic>
              <a:graphicData uri="http://schemas.openxmlformats.org/drawingml/2006/picture">
                <pic:pic>
                  <pic:nvPicPr>
                    <pic:cNvPr id="0" name="hillway-logo.png"/>
                    <pic:cNvPicPr/>
                  </pic:nvPicPr>
                  <pic:blipFill>
                    <a:blip r:embed="rId9"/>
                    <a:stretch>
                      <a:fillRect/>
                    </a:stretch>
                  </pic:blipFill>
                  <pic:spPr>
                    <a:xfrm>
                      <a:off x="0" y="0"/>
                      <a:ext cx="2286000" cy="1514475"/>
                    </a:xfrm>
                    <a:prstGeom prst="rect"/>
                  </pic:spPr>
                </pic:pic>
              </a:graphicData>
            </a:graphic>
          </wp:inline>
        </w:drawing>
      </w:r>
    </w:p>
    <w:p/>
    <w:p>
      <w:pPr>
        <w:jc w:val="center"/>
      </w:pPr>
      <w:r>
        <w:rPr>
          <w:rFonts w:ascii="Calibri" w:hAnsi="Calibri"/>
          <w:b/>
          <w:color w:val="0F172A"/>
          <w:sz w:val="56"/>
        </w:rPr>
        <w:t>RICS Compliance Policy</w:t>
      </w:r>
    </w:p>
    <w:p>
      <w:pPr>
        <w:jc w:val="center"/>
      </w:pPr>
      <w:r>
        <w:rPr>
          <w:rFonts w:ascii="Calibri" w:hAnsi="Calibri"/>
          <w:color w:val="64748B"/>
          <w:sz w:val="28"/>
        </w:rPr>
        <w:t>Hillway Property Consultants</w:t>
      </w:r>
    </w:p>
    <w:p/>
    <w:p/>
    <w:p/>
    <w:p>
      <w:pPr>
        <w:jc w:val="center"/>
      </w:pPr>
      <w:r>
        <w:rPr>
          <w:color w:val="1E40AF"/>
          <w:sz w:val="24"/>
        </w:rPr>
        <w:t>━━━━━━━━━━━━━━━━━━━━━━━━━━━━━━━━━━━━━━━━</w:t>
      </w:r>
    </w:p>
    <w:p/>
    <w:p>
      <w:pPr>
        <w:spacing w:after="40"/>
        <w:jc w:val="center"/>
      </w:pPr>
      <w:r>
        <w:rPr>
          <w:rFonts w:ascii="Calibri" w:hAnsi="Calibri"/>
          <w:b/>
          <w:color w:val="64748B"/>
          <w:sz w:val="20"/>
        </w:rPr>
        <w:t xml:space="preserve">Hillway Holdings Ltd: </w:t>
      </w:r>
      <w:r>
        <w:rPr>
          <w:rFonts w:ascii="Calibri" w:hAnsi="Calibri"/>
          <w:color w:val="333333"/>
          <w:sz w:val="20"/>
        </w:rPr>
        <w:t>Trading as Hillway Property Consultants</w:t>
      </w:r>
    </w:p>
    <w:p>
      <w:pPr>
        <w:spacing w:after="40"/>
        <w:jc w:val="center"/>
      </w:pPr>
      <w:r>
        <w:rPr>
          <w:rFonts w:ascii="Calibri" w:hAnsi="Calibri"/>
          <w:b/>
          <w:color w:val="64748B"/>
          <w:sz w:val="20"/>
        </w:rPr>
        <w:t xml:space="preserve">Version: </w:t>
      </w:r>
      <w:r>
        <w:rPr>
          <w:rFonts w:ascii="Calibri" w:hAnsi="Calibri"/>
          <w:color w:val="333333"/>
          <w:sz w:val="20"/>
        </w:rPr>
        <w:t>1.0</w:t>
      </w:r>
    </w:p>
    <w:p>
      <w:pPr>
        <w:spacing w:after="40"/>
        <w:jc w:val="center"/>
      </w:pPr>
      <w:r>
        <w:rPr>
          <w:rFonts w:ascii="Calibri" w:hAnsi="Calibri"/>
          <w:b/>
          <w:color w:val="64748B"/>
          <w:sz w:val="20"/>
        </w:rPr>
        <w:t xml:space="preserve">Date: </w:t>
      </w:r>
      <w:r>
        <w:rPr>
          <w:rFonts w:ascii="Calibri" w:hAnsi="Calibri"/>
          <w:color w:val="333333"/>
          <w:sz w:val="20"/>
        </w:rPr>
        <w:t>February 2026</w:t>
      </w:r>
    </w:p>
    <w:p>
      <w:pPr>
        <w:spacing w:after="40"/>
        <w:jc w:val="center"/>
      </w:pPr>
      <w:r>
        <w:rPr>
          <w:rFonts w:ascii="Calibri" w:hAnsi="Calibri"/>
          <w:b/>
          <w:color w:val="64748B"/>
          <w:sz w:val="20"/>
        </w:rPr>
        <w:t xml:space="preserve">Classification: </w:t>
      </w:r>
      <w:r>
        <w:rPr>
          <w:rFonts w:ascii="Calibri" w:hAnsi="Calibri"/>
          <w:color w:val="333333"/>
          <w:sz w:val="20"/>
        </w:rPr>
        <w:t>Confidential</w:t>
      </w:r>
    </w:p>
    <w:p>
      <w:r>
        <w:br w:type="page"/>
      </w:r>
    </w:p>
    <w:p>
      <w:pPr>
        <w:pStyle w:val="Heading1"/>
      </w:pPr>
      <w:r>
        <w:t>1. Purpose and Scope</w:t>
      </w:r>
    </w:p>
    <w:p>
      <w:pPr>
        <w:spacing w:after="120"/>
      </w:pPr>
      <w:r>
        <w:t>This policy sets out the framework by which Hillway Holdings Ltd, trading as Hillway Property Consultants ("the Firm"), ensures compliance with the standards, rules, and regulations of the Royal Institution of Chartered Surveyors (RICS). As an RICS Regulated Firm, we are committed to upholding the highest standards of professionalism, ethics, and competence across all of our operations.</w:t>
      </w:r>
    </w:p>
    <w:p>
      <w:pPr>
        <w:spacing w:after="120"/>
      </w:pPr>
      <w:r>
        <w:t>This policy applies to all directors, employees, consultants, and any other person acting on behalf of the Firm in the provision of surveying and property consultancy services. Compliance with this policy is mandatory. Failure to comply may result in disciplinary action and may also give rise to regulatory sanctions from RICS.</w:t>
      </w:r>
    </w:p>
    <w:p>
      <w:pPr>
        <w:spacing w:after="120"/>
      </w:pPr>
      <w:r>
        <w:t>The Firm operates from Cubo, 38 Carver Street, Sheffield S1 4FS and provides services including but not limited to property management, building surveying, valuation, lease advisory, and property consultancy. All such services fall within the regulatory scope of RICS.</w:t>
      </w:r>
    </w:p>
    <w:p>
      <w:pPr>
        <w:pStyle w:val="Heading1"/>
      </w:pPr>
      <w:r>
        <w:t>2. RICS Regulated Firm Status</w:t>
      </w:r>
    </w:p>
    <w:p>
      <w:pPr>
        <w:spacing w:after="120"/>
      </w:pPr>
      <w:r>
        <w:t>Hillway Property Consultants is registered with RICS as a Regulated Firm. This means the Firm has voluntarily submitted to regulation by RICS and has agreed to comply with RICS standards, guidance, and rules applicable to regulated firms.</w:t>
      </w:r>
    </w:p>
    <w:p>
      <w:pPr>
        <w:pStyle w:val="Heading2"/>
      </w:pPr>
      <w:r>
        <w:t>2.1 What Regulated Firm Status Means</w:t>
      </w:r>
    </w:p>
    <w:p>
      <w:pPr>
        <w:spacing w:after="120"/>
      </w:pPr>
      <w:r>
        <w:t>Being an RICS Regulated Firm carries the following obligations and benefits:</w:t>
      </w:r>
    </w:p>
    <w:p>
      <w:pPr>
        <w:pStyle w:val="ListBullet"/>
        <w:spacing w:after="60"/>
      </w:pPr>
      <w:r>
        <w:t>The Firm is subject to RICS regulatory oversight, including the power of RICS to investigate complaints, conduct audits, and impose sanctions.</w:t>
      </w:r>
    </w:p>
    <w:p>
      <w:pPr>
        <w:pStyle w:val="ListBullet"/>
        <w:spacing w:after="60"/>
      </w:pPr>
      <w:r>
        <w:t>All chartered surveyors within the Firm must maintain their individual RICS membership and comply with the RICS Rules of Conduct.</w:t>
      </w:r>
    </w:p>
    <w:p>
      <w:pPr>
        <w:pStyle w:val="ListBullet"/>
        <w:spacing w:after="60"/>
      </w:pPr>
      <w:r>
        <w:t>The Firm must maintain adequate Professional Indemnity Insurance (PII) in accordance with RICS requirements and must provide evidence of cover to RICS annually.</w:t>
      </w:r>
    </w:p>
    <w:p>
      <w:pPr>
        <w:pStyle w:val="ListBullet"/>
        <w:spacing w:after="60"/>
      </w:pPr>
      <w:r>
        <w:t>The Firm must have a designated Responsible Principal who takes overall responsibility for regulatory compliance. This role is held by Matt Fitzgerald MRICS, Managing Director.</w:t>
      </w:r>
    </w:p>
    <w:p>
      <w:pPr>
        <w:pStyle w:val="ListBullet"/>
        <w:spacing w:after="60"/>
      </w:pPr>
      <w:r>
        <w:t>The Firm must operate a complaints handling procedure that complies with RICS requirements, including access to an approved alternative dispute resolution (ADR) scheme.</w:t>
      </w:r>
    </w:p>
    <w:p>
      <w:pPr>
        <w:pStyle w:val="ListBullet"/>
        <w:spacing w:after="60"/>
      </w:pPr>
      <w:r>
        <w:t>The Firm must maintain appropriate systems and controls for Anti-Money Laundering compliance, conflicts of interest management, and client money handling (where applicable).</w:t>
      </w:r>
    </w:p>
    <w:p>
      <w:pPr>
        <w:pStyle w:val="Heading2"/>
      </w:pPr>
      <w:r>
        <w:t>2.2 Benefits to Clients</w:t>
      </w:r>
    </w:p>
    <w:p>
      <w:pPr>
        <w:spacing w:after="120"/>
      </w:pPr>
      <w:r>
        <w:t>Clients of an RICS Regulated Firm benefit from the assurance that the Firm operates to recognised professional standards, is subject to external regulatory oversight, and provides access to RICS dispute resolution services. The RICS kitemark provides an internationally recognised mark of quality and professionalism.</w:t>
      </w:r>
    </w:p>
    <w:p>
      <w:pPr>
        <w:pStyle w:val="Heading1"/>
      </w:pPr>
      <w:r>
        <w:t>3. RICS Rules of Conduct</w:t>
      </w:r>
    </w:p>
    <w:p>
      <w:pPr>
        <w:spacing w:after="120"/>
      </w:pPr>
      <w:r>
        <w:t>The RICS Rules of Conduct became effective on 2 February 2022 and replaced the previous separate rules for members and firms. These five overarching rules apply to all RICS members and regulated firms globally. All personnel at Hillway must understand and comply with these rules at all times.</w:t>
      </w:r>
    </w:p>
    <w:p>
      <w:pPr>
        <w:pStyle w:val="Heading2"/>
      </w:pPr>
      <w:r>
        <w:t>3.1 Rule 1 — Honesty, Integrity, and Professional Obligations</w:t>
      </w:r>
    </w:p>
    <w:p>
      <w:pPr>
        <w:spacing w:after="120"/>
      </w:pPr>
      <w:r>
        <w:t>Members and firms must be honest, act with integrity, and comply with their professional obligations, including obligations to RICS.</w:t>
      </w:r>
    </w:p>
    <w:p>
      <w:pPr>
        <w:spacing w:after="120"/>
      </w:pPr>
      <w:r>
        <w:t>In practice at Hillway, this means:</w:t>
      </w:r>
    </w:p>
    <w:p>
      <w:pPr>
        <w:pStyle w:val="ListBullet"/>
        <w:spacing w:after="60"/>
      </w:pPr>
      <w:r>
        <w:t>Being truthful and transparent in all dealings with clients, colleagues, and third parties.</w:t>
      </w:r>
    </w:p>
    <w:p>
      <w:pPr>
        <w:pStyle w:val="ListBullet"/>
        <w:spacing w:after="60"/>
      </w:pPr>
      <w:r>
        <w:t>Never misleading clients or others by act or omission.</w:t>
      </w:r>
    </w:p>
    <w:p>
      <w:pPr>
        <w:pStyle w:val="ListBullet"/>
        <w:spacing w:after="60"/>
      </w:pPr>
      <w:r>
        <w:t>Honouring commitments and promises made in the course of business.</w:t>
      </w:r>
    </w:p>
    <w:p>
      <w:pPr>
        <w:pStyle w:val="ListBullet"/>
        <w:spacing w:after="60"/>
      </w:pPr>
      <w:r>
        <w:t>Complying with all applicable laws, regulations, and RICS standards.</w:t>
      </w:r>
    </w:p>
    <w:p>
      <w:pPr>
        <w:pStyle w:val="ListBullet"/>
        <w:spacing w:after="60"/>
      </w:pPr>
      <w:r>
        <w:t>Promptly disclosing any matter that might compromise the Firm's integrity or independence.</w:t>
      </w:r>
    </w:p>
    <w:p>
      <w:pPr>
        <w:pStyle w:val="ListBullet"/>
        <w:spacing w:after="60"/>
      </w:pPr>
      <w:r>
        <w:t>Not engaging in conduct that is likely to bring RICS or the surveying profession into disrepute.</w:t>
      </w:r>
    </w:p>
    <w:p>
      <w:pPr>
        <w:pStyle w:val="ListBullet"/>
        <w:spacing w:after="60"/>
      </w:pPr>
      <w:r>
        <w:t>Complying with the Firm's internal policies and procedures, which are designed to give effect to RICS requirements.</w:t>
      </w:r>
    </w:p>
    <w:p>
      <w:pPr>
        <w:pStyle w:val="Heading2"/>
      </w:pPr>
      <w:r>
        <w:t>3.2 Rule 2 — Competence</w:t>
      </w:r>
    </w:p>
    <w:p>
      <w:pPr>
        <w:spacing w:after="120"/>
      </w:pPr>
      <w:r>
        <w:t>Members and firms must maintain their professional competence and ensure that services are provided by competent individuals.</w:t>
      </w:r>
    </w:p>
    <w:p>
      <w:pPr>
        <w:spacing w:after="120"/>
      </w:pPr>
      <w:r>
        <w:t>In practice at Hillway, this means:</w:t>
      </w:r>
    </w:p>
    <w:p>
      <w:pPr>
        <w:pStyle w:val="ListBullet"/>
        <w:spacing w:after="60"/>
      </w:pPr>
      <w:r>
        <w:t>Only accepting instructions that are within the Firm's competence and capacity to deliver.</w:t>
      </w:r>
    </w:p>
    <w:p>
      <w:pPr>
        <w:pStyle w:val="ListBullet"/>
        <w:spacing w:after="60"/>
      </w:pPr>
      <w:r>
        <w:t>Ensuring that all staff have the appropriate qualifications, training, and experience for the work they undertake.</w:t>
      </w:r>
    </w:p>
    <w:p>
      <w:pPr>
        <w:pStyle w:val="ListBullet"/>
        <w:spacing w:after="60"/>
      </w:pPr>
      <w:r>
        <w:t>Maintaining Continuing Professional Development (CPD) in accordance with RICS requirements.</w:t>
      </w:r>
    </w:p>
    <w:p>
      <w:pPr>
        <w:pStyle w:val="ListBullet"/>
        <w:spacing w:after="60"/>
      </w:pPr>
      <w:r>
        <w:t>Supervising junior staff and trainees to ensure work is completed to the required standard.</w:t>
      </w:r>
    </w:p>
    <w:p>
      <w:pPr>
        <w:pStyle w:val="ListBullet"/>
        <w:spacing w:after="60"/>
      </w:pPr>
      <w:r>
        <w:t>Seeking specialist advice or referring matters to more experienced colleagues where appropriate.</w:t>
      </w:r>
    </w:p>
    <w:p>
      <w:pPr>
        <w:pStyle w:val="ListBullet"/>
        <w:spacing w:after="60"/>
      </w:pPr>
      <w:r>
        <w:t>Keeping up to date with changes in legislation, market conditions, and professional standards relevant to our practice areas.</w:t>
      </w:r>
    </w:p>
    <w:p>
      <w:pPr>
        <w:pStyle w:val="Heading2"/>
      </w:pPr>
      <w:r>
        <w:t>3.3 Rule 3 — Service</w:t>
      </w:r>
    </w:p>
    <w:p>
      <w:pPr>
        <w:spacing w:after="120"/>
      </w:pPr>
      <w:r>
        <w:t>Members and firms must provide good-quality and diligent service.</w:t>
      </w:r>
    </w:p>
    <w:p>
      <w:pPr>
        <w:spacing w:after="120"/>
      </w:pPr>
      <w:r>
        <w:t>In practice at Hillway, this means:</w:t>
      </w:r>
    </w:p>
    <w:p>
      <w:pPr>
        <w:pStyle w:val="ListBullet"/>
        <w:spacing w:after="60"/>
      </w:pPr>
      <w:r>
        <w:t>Providing services in a timely manner and in accordance with agreed terms of engagement.</w:t>
      </w:r>
    </w:p>
    <w:p>
      <w:pPr>
        <w:pStyle w:val="ListBullet"/>
        <w:spacing w:after="60"/>
      </w:pPr>
      <w:r>
        <w:t>Communicating clearly and promptly with clients, keeping them informed of progress.</w:t>
      </w:r>
    </w:p>
    <w:p>
      <w:pPr>
        <w:pStyle w:val="ListBullet"/>
        <w:spacing w:after="60"/>
      </w:pPr>
      <w:r>
        <w:t>Maintaining accurate and comprehensive records of all work undertaken.</w:t>
      </w:r>
    </w:p>
    <w:p>
      <w:pPr>
        <w:pStyle w:val="ListBullet"/>
        <w:spacing w:after="60"/>
      </w:pPr>
      <w:r>
        <w:t>Ensuring that all advice, reports, and valuations are well-reasoned, supported by evidence, and presented clearly.</w:t>
      </w:r>
    </w:p>
    <w:p>
      <w:pPr>
        <w:pStyle w:val="ListBullet"/>
        <w:spacing w:after="60"/>
      </w:pPr>
      <w:r>
        <w:t>Having adequate resources, systems, and procedures in place to deliver services effectively.</w:t>
      </w:r>
    </w:p>
    <w:p>
      <w:pPr>
        <w:pStyle w:val="ListBullet"/>
        <w:spacing w:after="60"/>
      </w:pPr>
      <w:r>
        <w:t>Operating a complaints handling procedure and taking complaints seriously.</w:t>
      </w:r>
    </w:p>
    <w:p>
      <w:pPr>
        <w:pStyle w:val="ListBullet"/>
        <w:spacing w:after="60"/>
      </w:pPr>
      <w:r>
        <w:t>Continuously seeking to improve service quality through feedback and review.</w:t>
      </w:r>
    </w:p>
    <w:p>
      <w:pPr>
        <w:pStyle w:val="Heading2"/>
      </w:pPr>
      <w:r>
        <w:t>3.4 Rule 4 — Respect and Inclusion</w:t>
      </w:r>
    </w:p>
    <w:p>
      <w:pPr>
        <w:spacing w:after="120"/>
      </w:pPr>
      <w:r>
        <w:t>Members and firms must treat others with respect and encourage diversity and inclusion.</w:t>
      </w:r>
    </w:p>
    <w:p>
      <w:pPr>
        <w:spacing w:after="120"/>
      </w:pPr>
      <w:r>
        <w:t>In practice at Hillway, this means:</w:t>
      </w:r>
    </w:p>
    <w:p>
      <w:pPr>
        <w:pStyle w:val="ListBullet"/>
        <w:spacing w:after="60"/>
      </w:pPr>
      <w:r>
        <w:t>Treating all clients, colleagues, contractors, and members of the public with courtesy and respect.</w:t>
      </w:r>
    </w:p>
    <w:p>
      <w:pPr>
        <w:pStyle w:val="ListBullet"/>
        <w:spacing w:after="60"/>
      </w:pPr>
      <w:r>
        <w:t>Not discriminating on the basis of age, disability, gender reassignment, marriage and civil partnership, pregnancy and maternity, race, religion or belief, sex, or sexual orientation.</w:t>
      </w:r>
    </w:p>
    <w:p>
      <w:pPr>
        <w:pStyle w:val="ListBullet"/>
        <w:spacing w:after="60"/>
      </w:pPr>
      <w:r>
        <w:t>Actively promoting an inclusive working environment where all team members feel valued and able to contribute.</w:t>
      </w:r>
    </w:p>
    <w:p>
      <w:pPr>
        <w:pStyle w:val="ListBullet"/>
        <w:spacing w:after="60"/>
      </w:pPr>
      <w:r>
        <w:t>Challenging inappropriate behaviour and language, whether directed at colleagues, clients, or others.</w:t>
      </w:r>
    </w:p>
    <w:p>
      <w:pPr>
        <w:pStyle w:val="ListBullet"/>
        <w:spacing w:after="60"/>
      </w:pPr>
      <w:r>
        <w:t>Complying with the Equality Act 2010 and related legislation.</w:t>
      </w:r>
    </w:p>
    <w:p>
      <w:pPr>
        <w:pStyle w:val="Heading2"/>
      </w:pPr>
      <w:r>
        <w:t>3.5 Rule 5 — Public Interest and Responsibility</w:t>
      </w:r>
    </w:p>
    <w:p>
      <w:pPr>
        <w:spacing w:after="120"/>
      </w:pPr>
      <w:r>
        <w:t>Members and firms must act in the public interest, take responsibility for their actions, and act to prevent harm and maintain public confidence in the profession.</w:t>
      </w:r>
    </w:p>
    <w:p>
      <w:pPr>
        <w:spacing w:after="120"/>
      </w:pPr>
      <w:r>
        <w:t>In practice at Hillway, this means:</w:t>
      </w:r>
    </w:p>
    <w:p>
      <w:pPr>
        <w:pStyle w:val="ListBullet"/>
        <w:spacing w:after="60"/>
      </w:pPr>
      <w:r>
        <w:t>Recognising that professional obligations extend beyond the interests of individual clients to the wider public.</w:t>
      </w:r>
    </w:p>
    <w:p>
      <w:pPr>
        <w:pStyle w:val="ListBullet"/>
        <w:spacing w:after="60"/>
      </w:pPr>
      <w:r>
        <w:t>Reporting any matter that may pose a risk to public safety, such as dangerous building defects.</w:t>
      </w:r>
    </w:p>
    <w:p>
      <w:pPr>
        <w:pStyle w:val="ListBullet"/>
        <w:spacing w:after="60"/>
      </w:pPr>
      <w:r>
        <w:t>Taking personal responsibility for our work and its outcomes, including acknowledging and addressing mistakes.</w:t>
      </w:r>
    </w:p>
    <w:p>
      <w:pPr>
        <w:pStyle w:val="ListBullet"/>
        <w:spacing w:after="60"/>
      </w:pPr>
      <w:r>
        <w:t>Not engaging in conduct that could undermine public confidence in the surveying profession.</w:t>
      </w:r>
    </w:p>
    <w:p>
      <w:pPr>
        <w:pStyle w:val="ListBullet"/>
        <w:spacing w:after="60"/>
      </w:pPr>
      <w:r>
        <w:t>Cooperating with RICS regulatory processes and investigations.</w:t>
      </w:r>
    </w:p>
    <w:p>
      <w:pPr>
        <w:pStyle w:val="ListBullet"/>
        <w:spacing w:after="60"/>
      </w:pPr>
      <w:r>
        <w:t>Whistleblowing where appropriate to protect the public interest.</w:t>
      </w:r>
    </w:p>
    <w:p>
      <w:r>
        <w:br w:type="page"/>
      </w:r>
    </w:p>
    <w:p>
      <w:pPr>
        <w:pStyle w:val="Heading1"/>
      </w:pPr>
      <w:r>
        <w:t>4. Professional and Ethical Standards</w:t>
      </w:r>
    </w:p>
    <w:p>
      <w:pPr>
        <w:spacing w:after="120"/>
      </w:pPr>
      <w:r>
        <w:t>Beyond the five overarching Rules of Conduct, RICS publishes a range of professional standards, guidance notes, and practice statements that govern specific areas of practice. The Firm is committed to complying with all applicable RICS professional standards, including but not limited to:</w:t>
      </w:r>
    </w:p>
    <w:p>
      <w:pPr>
        <w:pStyle w:val="ListBullet"/>
        <w:spacing w:after="60"/>
      </w:pPr>
      <w:r>
        <w:t>RICS Valuation — Global Standards (the "Red Book") for all valuation work.</w:t>
      </w:r>
    </w:p>
    <w:p>
      <w:pPr>
        <w:pStyle w:val="ListBullet"/>
        <w:spacing w:after="60"/>
      </w:pPr>
      <w:r>
        <w:t>RICS Professional Statement: Countering Bribery and Corruption, Money Laundering and Terrorist Financing.</w:t>
      </w:r>
    </w:p>
    <w:p>
      <w:pPr>
        <w:pStyle w:val="ListBullet"/>
        <w:spacing w:after="60"/>
      </w:pPr>
      <w:r>
        <w:t>RICS Professional Statement: Conflicts of Interest.</w:t>
      </w:r>
    </w:p>
    <w:p>
      <w:pPr>
        <w:pStyle w:val="ListBullet"/>
        <w:spacing w:after="60"/>
      </w:pPr>
      <w:r>
        <w:t>RICS Professional Statement: Client Money Handling.</w:t>
      </w:r>
    </w:p>
    <w:p>
      <w:pPr>
        <w:pStyle w:val="ListBullet"/>
        <w:spacing w:after="60"/>
      </w:pPr>
      <w:r>
        <w:t>RICS Code of Measuring Practice (where applicable to space measurement and calculation).</w:t>
      </w:r>
    </w:p>
    <w:p>
      <w:pPr>
        <w:pStyle w:val="ListBullet"/>
        <w:spacing w:after="60"/>
      </w:pPr>
      <w:r>
        <w:t>RICS Professional Statement: Service Charges in Commercial Property.</w:t>
      </w:r>
    </w:p>
    <w:p>
      <w:pPr>
        <w:pStyle w:val="ListBullet"/>
        <w:spacing w:after="60"/>
      </w:pPr>
      <w:r>
        <w:t>RICS Home Survey Standard.</w:t>
      </w:r>
    </w:p>
    <w:p>
      <w:pPr>
        <w:spacing w:after="120"/>
      </w:pPr>
      <w:r>
        <w:t>All members of staff are expected to be familiar with the RICS professional standards relevant to their area of practice. The Managing Director will ensure that staff are made aware of new or updated standards as they are published.</w:t>
      </w:r>
    </w:p>
    <w:p>
      <w:pPr>
        <w:pStyle w:val="Heading1"/>
      </w:pPr>
      <w:r>
        <w:t>5. Continuing Professional Development (CPD)</w:t>
      </w:r>
    </w:p>
    <w:p>
      <w:pPr>
        <w:spacing w:after="120"/>
      </w:pPr>
      <w:r>
        <w:t>RICS requires all members to undertake a minimum of 20 hours of CPD per calendar year. This requirement is a fundamental part of maintaining professional competence and is taken very seriously by the Firm.</w:t>
      </w:r>
    </w:p>
    <w:p>
      <w:pPr>
        <w:pStyle w:val="Heading2"/>
      </w:pPr>
      <w:r>
        <w:t>5.1 CPD Categories</w:t>
      </w:r>
    </w:p>
    <w:p>
      <w:pPr>
        <w:spacing w:after="120"/>
      </w:pPr>
      <w:r>
        <w:t>CPD activities may be either formal or informal:</w:t>
      </w:r>
    </w:p>
    <w:p>
      <w:pPr>
        <w:pStyle w:val="ListBullet"/>
        <w:spacing w:after="60"/>
      </w:pPr>
      <w:r>
        <w:t>Formal CPD: structured learning activities such as courses, conferences, seminars, webinars, and accredited e-learning programmes. A minimum of 10 hours per year must be formal CPD.</w:t>
      </w:r>
    </w:p>
    <w:p>
      <w:pPr>
        <w:pStyle w:val="ListBullet"/>
        <w:spacing w:after="60"/>
      </w:pPr>
      <w:r>
        <w:t>Informal CPD: self-directed learning such as reading professional journals, technical research, on-the-job learning, peer discussion, and mentoring. Up to 10 hours per year may be informal CPD.</w:t>
      </w:r>
    </w:p>
    <w:p>
      <w:pPr>
        <w:pStyle w:val="Heading2"/>
      </w:pPr>
      <w:r>
        <w:t>5.2 Record Keeping</w:t>
      </w:r>
    </w:p>
    <w:p>
      <w:pPr>
        <w:spacing w:after="120"/>
      </w:pPr>
      <w:r>
        <w:t>All RICS members within the Firm must maintain accurate records of their CPD activities. Records should include:</w:t>
      </w:r>
    </w:p>
    <w:p>
      <w:pPr>
        <w:pStyle w:val="ListBullet"/>
        <w:spacing w:after="60"/>
      </w:pPr>
      <w:r>
        <w:t>Date and duration of the activity.</w:t>
      </w:r>
    </w:p>
    <w:p>
      <w:pPr>
        <w:pStyle w:val="ListBullet"/>
        <w:spacing w:after="60"/>
      </w:pPr>
      <w:r>
        <w:t>Description of the activity and the learning outcomes.</w:t>
      </w:r>
    </w:p>
    <w:p>
      <w:pPr>
        <w:pStyle w:val="ListBullet"/>
        <w:spacing w:after="60"/>
      </w:pPr>
      <w:r>
        <w:t>Whether the activity was formal or informal.</w:t>
      </w:r>
    </w:p>
    <w:p>
      <w:pPr>
        <w:pStyle w:val="ListBullet"/>
        <w:spacing w:after="60"/>
      </w:pPr>
      <w:r>
        <w:t>Certificates of attendance or completion (where available).</w:t>
      </w:r>
    </w:p>
    <w:p>
      <w:pPr>
        <w:spacing w:after="120"/>
      </w:pPr>
      <w:r>
        <w:t>CPD records must be available for inspection by RICS at any time. The Firm conducts an internal CPD audit in December each year to ensure that all members are on track to meet the annual requirement.</w:t>
      </w:r>
    </w:p>
    <w:p>
      <w:pPr>
        <w:pStyle w:val="Heading2"/>
      </w:pPr>
      <w:r>
        <w:t>5.3 The Firm's CPD Support</w:t>
      </w:r>
    </w:p>
    <w:p>
      <w:pPr>
        <w:spacing w:after="120"/>
      </w:pPr>
      <w:r>
        <w:t>The Firm supports CPD through: provision of in-house training sessions; funding for relevant external courses and conferences; access to professional subscriptions and journals; and time allocated during working hours for CPD activities. Requests for CPD funding should be made to the Managing Director.</w:t>
      </w:r>
    </w:p>
    <w:p>
      <w:pPr>
        <w:pStyle w:val="Heading1"/>
      </w:pPr>
      <w:r>
        <w:t>6. Maintaining Registration</w:t>
      </w:r>
    </w:p>
    <w:p>
      <w:pPr>
        <w:spacing w:after="120"/>
      </w:pPr>
      <w:r>
        <w:t>All RICS members within the Firm are individually responsible for maintaining their RICS membership in good standing. This includes:</w:t>
      </w:r>
    </w:p>
    <w:p>
      <w:pPr>
        <w:pStyle w:val="ListBullet"/>
        <w:spacing w:after="60"/>
      </w:pPr>
      <w:r>
        <w:t>Paying annual subscription fees on time.</w:t>
      </w:r>
    </w:p>
    <w:p>
      <w:pPr>
        <w:pStyle w:val="ListBullet"/>
        <w:spacing w:after="60"/>
      </w:pPr>
      <w:r>
        <w:t>Completing the annual CPD declaration and submitting it to RICS by the required deadline.</w:t>
      </w:r>
    </w:p>
    <w:p>
      <w:pPr>
        <w:pStyle w:val="ListBullet"/>
        <w:spacing w:after="60"/>
      </w:pPr>
      <w:r>
        <w:t>Declaring any matters that RICS requires to be disclosed, including criminal convictions, regulatory sanctions, or disciplinary proceedings.</w:t>
      </w:r>
    </w:p>
    <w:p>
      <w:pPr>
        <w:pStyle w:val="ListBullet"/>
        <w:spacing w:after="60"/>
      </w:pPr>
      <w:r>
        <w:t>Notifying RICS of any change in employment or contact details.</w:t>
      </w:r>
    </w:p>
    <w:p>
      <w:pPr>
        <w:spacing w:after="120"/>
      </w:pPr>
      <w:r>
        <w:t>The Firm will provide reminders of key RICS deadlines but individual members retain personal responsibility for their registration status. Any member whose registration lapses must not hold themselves out as an RICS member or chartered surveyor until their registration is restored.</w:t>
      </w:r>
    </w:p>
    <w:p>
      <w:r>
        <w:br w:type="page"/>
      </w:r>
    </w:p>
    <w:p>
      <w:pPr>
        <w:pStyle w:val="Heading1"/>
      </w:pPr>
      <w:r>
        <w:t>7. Duty to Cooperate</w:t>
      </w:r>
    </w:p>
    <w:p>
      <w:pPr>
        <w:spacing w:after="120"/>
      </w:pPr>
      <w:r>
        <w:t>RICS members and regulated firms have a duty to cooperate with RICS regulatory processes, including investigations into complaints, conduct, and compliance. This duty is absolute and applies regardless of the nature of the inquiry.</w:t>
      </w:r>
    </w:p>
    <w:p>
      <w:pPr>
        <w:spacing w:after="120"/>
      </w:pPr>
      <w:r>
        <w:t>In particular, all personnel must:</w:t>
      </w:r>
    </w:p>
    <w:p>
      <w:pPr>
        <w:pStyle w:val="ListBullet"/>
        <w:spacing w:after="60"/>
      </w:pPr>
      <w:r>
        <w:t>Respond to RICS correspondence promptly and within the timescales specified.</w:t>
      </w:r>
    </w:p>
    <w:p>
      <w:pPr>
        <w:pStyle w:val="ListBullet"/>
        <w:spacing w:after="60"/>
      </w:pPr>
      <w:r>
        <w:t>Provide any documents or information requested by RICS in connection with an investigation or audit.</w:t>
      </w:r>
    </w:p>
    <w:p>
      <w:pPr>
        <w:pStyle w:val="ListBullet"/>
        <w:spacing w:after="60"/>
      </w:pPr>
      <w:r>
        <w:t>Attend interviews or hearings as required.</w:t>
      </w:r>
    </w:p>
    <w:p>
      <w:pPr>
        <w:pStyle w:val="ListBullet"/>
        <w:spacing w:after="60"/>
      </w:pPr>
      <w:r>
        <w:t>Not obstruct, delay, or mislead RICS in the exercise of its regulatory functions.</w:t>
      </w:r>
    </w:p>
    <w:p>
      <w:pPr>
        <w:pStyle w:val="ListBullet"/>
        <w:spacing w:after="60"/>
      </w:pPr>
      <w:r>
        <w:t>Cooperate with RICS regulatory reviews and desktop audits of the Firm.</w:t>
      </w:r>
    </w:p>
    <w:p>
      <w:pPr>
        <w:spacing w:after="120"/>
      </w:pPr>
      <w:r>
        <w:t>Failure to cooperate with RICS is itself a disciplinary offence and may result in sanctions against the individual or the Firm, including suspension or expulsion from RICS membership.</w:t>
      </w:r>
    </w:p>
    <w:p>
      <w:pPr>
        <w:pStyle w:val="Heading1"/>
      </w:pPr>
      <w:r>
        <w:t>8. Reporting Obligations</w:t>
      </w:r>
    </w:p>
    <w:p>
      <w:pPr>
        <w:spacing w:after="120"/>
      </w:pPr>
      <w:r>
        <w:t>All RICS members have a duty to report to RICS any conduct by themselves or by another RICS member or firm that falls below the standards expected. This includes conduct that may constitute a breach of the Rules of Conduct or any RICS professional standard.</w:t>
      </w:r>
    </w:p>
    <w:p>
      <w:pPr>
        <w:pStyle w:val="Heading2"/>
      </w:pPr>
      <w:r>
        <w:t>8.1 When to Report</w:t>
      </w:r>
    </w:p>
    <w:p>
      <w:pPr>
        <w:spacing w:after="120"/>
      </w:pPr>
      <w:r>
        <w:t>Reportable matters include but are not limited to:</w:t>
      </w:r>
    </w:p>
    <w:p>
      <w:pPr>
        <w:pStyle w:val="ListBullet"/>
        <w:spacing w:after="60"/>
      </w:pPr>
      <w:r>
        <w:t>Dishonesty, fraud, or financial irregularity.</w:t>
      </w:r>
    </w:p>
    <w:p>
      <w:pPr>
        <w:pStyle w:val="ListBullet"/>
        <w:spacing w:after="60"/>
      </w:pPr>
      <w:r>
        <w:t>Serious incompetence or negligence.</w:t>
      </w:r>
    </w:p>
    <w:p>
      <w:pPr>
        <w:pStyle w:val="ListBullet"/>
        <w:spacing w:after="60"/>
      </w:pPr>
      <w:r>
        <w:t>Discrimination, harassment, or bullying.</w:t>
      </w:r>
    </w:p>
    <w:p>
      <w:pPr>
        <w:pStyle w:val="ListBullet"/>
        <w:spacing w:after="60"/>
      </w:pPr>
      <w:r>
        <w:t>Breaches of money laundering regulations.</w:t>
      </w:r>
    </w:p>
    <w:p>
      <w:pPr>
        <w:pStyle w:val="ListBullet"/>
        <w:spacing w:after="60"/>
      </w:pPr>
      <w:r>
        <w:t>Failure to maintain adequate PII cover.</w:t>
      </w:r>
    </w:p>
    <w:p>
      <w:pPr>
        <w:pStyle w:val="ListBullet"/>
        <w:spacing w:after="60"/>
      </w:pPr>
      <w:r>
        <w:t>Criminal convictions or regulatory sanctions imposed by another body.</w:t>
      </w:r>
    </w:p>
    <w:p>
      <w:pPr>
        <w:pStyle w:val="ListBullet"/>
        <w:spacing w:after="60"/>
      </w:pPr>
      <w:r>
        <w:t>Any matter that poses a risk to the public interest.</w:t>
      </w:r>
    </w:p>
    <w:p>
      <w:pPr>
        <w:pStyle w:val="Heading2"/>
      </w:pPr>
      <w:r>
        <w:t>8.2 How to Report</w:t>
      </w:r>
    </w:p>
    <w:p>
      <w:pPr>
        <w:spacing w:after="120"/>
      </w:pPr>
      <w:r>
        <w:t>Reports should be made to the Managing Director in the first instance. Where the concern relates to the Managing Director, reports should be made directly to RICS. All reports will be treated confidentially to the extent possible, and no person will suffer detriment for making a report in good faith.</w:t>
      </w:r>
    </w:p>
    <w:p>
      <w:pPr>
        <w:spacing w:after="120"/>
      </w:pPr>
      <w:r>
        <w:t>The Firm maintains a whistleblowing policy that provides additional protections for those raising concerns about professional conduct or regulatory compliance.</w:t>
      </w:r>
    </w:p>
    <w:p>
      <w:pPr>
        <w:pStyle w:val="Heading1"/>
      </w:pPr>
      <w:r>
        <w:t>9. Regulatory Compliance Declaration</w:t>
      </w:r>
    </w:p>
    <w:p>
      <w:pPr>
        <w:spacing w:after="120"/>
      </w:pPr>
      <w:r>
        <w:t>The Firm completes an annual Regulatory Compliance Declaration to RICS, confirming that the Firm continues to meet the requirements for regulated firm status. This declaration covers matters including:</w:t>
      </w:r>
    </w:p>
    <w:p>
      <w:pPr>
        <w:pStyle w:val="ListBullet"/>
        <w:spacing w:after="60"/>
      </w:pPr>
      <w:r>
        <w:t>Confirmation that the Firm holds adequate PII cover.</w:t>
      </w:r>
    </w:p>
    <w:p>
      <w:pPr>
        <w:pStyle w:val="ListBullet"/>
        <w:spacing w:after="60"/>
      </w:pPr>
      <w:r>
        <w:t>Confirmation that the Firm has a complaints handling procedure in place.</w:t>
      </w:r>
    </w:p>
    <w:p>
      <w:pPr>
        <w:pStyle w:val="ListBullet"/>
        <w:spacing w:after="60"/>
      </w:pPr>
      <w:r>
        <w:t>Confirmation that the Firm has Anti-Money Laundering policies and procedures in place.</w:t>
      </w:r>
    </w:p>
    <w:p>
      <w:pPr>
        <w:pStyle w:val="ListBullet"/>
        <w:spacing w:after="60"/>
      </w:pPr>
      <w:r>
        <w:t>Confirmation that the Firm has a Responsible Principal.</w:t>
      </w:r>
    </w:p>
    <w:p>
      <w:pPr>
        <w:pStyle w:val="ListBullet"/>
        <w:spacing w:after="60"/>
      </w:pPr>
      <w:r>
        <w:t>Declaration of any disciplinary or regulatory matters that have arisen during the year.</w:t>
      </w:r>
    </w:p>
    <w:p>
      <w:pPr>
        <w:pStyle w:val="ListBullet"/>
        <w:spacing w:after="60"/>
      </w:pPr>
      <w:r>
        <w:t>Declaration of any changes to the Firm's directors, ownership, or structure.</w:t>
      </w:r>
    </w:p>
    <w:p>
      <w:pPr>
        <w:spacing w:after="120"/>
      </w:pPr>
      <w:r>
        <w:t>The Managing Director is responsible for completing and submitting the annual declaration. All staff are required to provide accurate information to support this process.</w:t>
      </w:r>
    </w:p>
    <w:p>
      <w:pPr>
        <w:pStyle w:val="Heading1"/>
      </w:pPr>
      <w:r>
        <w:t>10. Consequences of Non-Compliance</w:t>
      </w:r>
    </w:p>
    <w:p>
      <w:pPr>
        <w:spacing w:after="120"/>
      </w:pPr>
      <w:r>
        <w:t>Non-compliance with this policy may result in:</w:t>
      </w:r>
    </w:p>
    <w:p>
      <w:pPr>
        <w:pStyle w:val="ListBullet"/>
        <w:spacing w:after="60"/>
      </w:pPr>
      <w:r>
        <w:t>Internal disciplinary action, which may include verbal or written warnings, suspension, or dismissal.</w:t>
      </w:r>
    </w:p>
    <w:p>
      <w:pPr>
        <w:pStyle w:val="ListBullet"/>
        <w:spacing w:after="60"/>
      </w:pPr>
      <w:r>
        <w:t>RICS disciplinary proceedings, which may result in cautions, fines, conditions on practice, suspension, or expulsion from RICS membership.</w:t>
      </w:r>
    </w:p>
    <w:p>
      <w:pPr>
        <w:pStyle w:val="ListBullet"/>
        <w:spacing w:after="60"/>
      </w:pPr>
      <w:r>
        <w:t>Loss of RICS Regulated Firm status, which would require the Firm to cease using the RICS kitemark and may affect the Firm's ability to trade.</w:t>
      </w:r>
    </w:p>
    <w:p>
      <w:pPr>
        <w:pStyle w:val="ListBullet"/>
        <w:spacing w:after="60"/>
      </w:pPr>
      <w:r>
        <w:t>Personal liability for the individual concerned, including potential civil claims from clients.</w:t>
      </w:r>
    </w:p>
    <w:p>
      <w:pPr>
        <w:pStyle w:val="ListBullet"/>
        <w:spacing w:after="60"/>
      </w:pPr>
      <w:r>
        <w:t>Criminal liability in serious cases, particularly in relation to fraud or money laundering offences.</w:t>
      </w:r>
    </w:p>
    <w:p>
      <w:pPr>
        <w:spacing w:after="120"/>
      </w:pPr>
      <w:r>
        <w:t>The Firm takes compliance very seriously and expects all personnel to do the same. Any questions about compliance obligations should be directed to the Managing Director.</w:t>
      </w:r>
    </w:p>
    <w:p>
      <w:r>
        <w:br w:type="page"/>
      </w:r>
    </w:p>
    <w:p>
      <w:pPr>
        <w:pStyle w:val="Heading1"/>
      </w:pPr>
      <w:r>
        <w:t>Document Control</w:t>
      </w:r>
    </w:p>
    <w:p>
      <w:pPr>
        <w:spacing w:after="120"/>
      </w:pPr>
      <w:r>
        <w:t>This document is subject to the following version control:</w:t>
      </w:r>
    </w:p>
    <w:p>
      <w:pPr>
        <w:pStyle w:val="Heading2"/>
      </w:pPr>
      <w:r>
        <w:t>Version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E40AF"/>
          </w:tcPr>
          <w:p>
            <w:pPr>
              <w:jc w:val="left"/>
            </w:pPr>
            <w:r>
              <w:rPr>
                <w:rFonts w:ascii="Calibri" w:hAnsi="Calibri"/>
                <w:b/>
                <w:color w:val="FFFFFF"/>
                <w:sz w:val="20"/>
              </w:rPr>
              <w:t>Version</w:t>
            </w:r>
          </w:p>
        </w:tc>
        <w:tc>
          <w:tcPr>
            <w:tcW w:type="dxa" w:w="1701"/>
            <w:shd w:fill="1E40AF"/>
          </w:tcPr>
          <w:p>
            <w:pPr>
              <w:jc w:val="left"/>
            </w:pPr>
            <w:r>
              <w:rPr>
                <w:rFonts w:ascii="Calibri" w:hAnsi="Calibri"/>
                <w:b/>
                <w:color w:val="FFFFFF"/>
                <w:sz w:val="20"/>
              </w:rPr>
              <w:t>Date</w:t>
            </w:r>
          </w:p>
        </w:tc>
        <w:tc>
          <w:tcPr>
            <w:tcW w:type="dxa" w:w="2835"/>
            <w:shd w:fill="1E40AF"/>
          </w:tcPr>
          <w:p>
            <w:pPr>
              <w:jc w:val="left"/>
            </w:pPr>
            <w:r>
              <w:rPr>
                <w:rFonts w:ascii="Calibri" w:hAnsi="Calibri"/>
                <w:b/>
                <w:color w:val="FFFFFF"/>
                <w:sz w:val="20"/>
              </w:rPr>
              <w:t>Author</w:t>
            </w:r>
          </w:p>
        </w:tc>
        <w:tc>
          <w:tcPr>
            <w:tcW w:type="dxa" w:w="3402"/>
            <w:shd w:fill="1E40AF"/>
          </w:tcPr>
          <w:p>
            <w:pPr>
              <w:jc w:val="left"/>
            </w:pPr>
            <w:r>
              <w:rPr>
                <w:rFonts w:ascii="Calibri" w:hAnsi="Calibri"/>
                <w:b/>
                <w:color w:val="FFFFFF"/>
                <w:sz w:val="20"/>
              </w:rPr>
              <w:t>Description</w:t>
            </w:r>
          </w:p>
        </w:tc>
      </w:tr>
      <w:tr>
        <w:tc>
          <w:tcPr>
            <w:tcW w:type="dxa" w:w="1134"/>
          </w:tcPr>
          <w:p>
            <w:r>
              <w:rPr>
                <w:rFonts w:ascii="Calibri" w:hAnsi="Calibri"/>
                <w:color w:val="333333"/>
                <w:sz w:val="20"/>
              </w:rPr>
              <w:t>1.0</w:t>
            </w:r>
          </w:p>
        </w:tc>
        <w:tc>
          <w:tcPr>
            <w:tcW w:type="dxa" w:w="1701"/>
          </w:tcPr>
          <w:p>
            <w:r>
              <w:rPr>
                <w:rFonts w:ascii="Calibri" w:hAnsi="Calibri"/>
                <w:color w:val="333333"/>
                <w:sz w:val="20"/>
              </w:rPr>
              <w:t>February 2026</w:t>
            </w:r>
          </w:p>
        </w:tc>
        <w:tc>
          <w:tcPr>
            <w:tcW w:type="dxa" w:w="2835"/>
          </w:tcPr>
          <w:p>
            <w:r>
              <w:rPr>
                <w:rFonts w:ascii="Calibri" w:hAnsi="Calibri"/>
                <w:color w:val="333333"/>
                <w:sz w:val="20"/>
              </w:rPr>
              <w:t>Matt Fitzgerald MRICS</w:t>
            </w:r>
          </w:p>
        </w:tc>
        <w:tc>
          <w:tcPr>
            <w:tcW w:type="dxa" w:w="3402"/>
          </w:tcPr>
          <w:p>
            <w:r>
              <w:rPr>
                <w:rFonts w:ascii="Calibri" w:hAnsi="Calibri"/>
                <w:color w:val="333333"/>
                <w:sz w:val="20"/>
              </w:rPr>
              <w:t>Initial issue</w:t>
            </w:r>
          </w:p>
        </w:tc>
      </w:tr>
    </w:tbl>
    <w:p/>
    <w:p>
      <w:pPr>
        <w:pStyle w:val="Heading2"/>
      </w:pPr>
      <w:r>
        <w:t>Approval</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E40AF"/>
          </w:tcPr>
          <w:p>
            <w:pPr>
              <w:jc w:val="left"/>
            </w:pPr>
            <w:r>
              <w:rPr>
                <w:rFonts w:ascii="Calibri" w:hAnsi="Calibri"/>
                <w:b/>
                <w:color w:val="FFFFFF"/>
                <w:sz w:val="20"/>
              </w:rPr>
              <w:t>Name</w:t>
            </w:r>
          </w:p>
        </w:tc>
        <w:tc>
          <w:tcPr>
            <w:tcW w:type="dxa" w:w="2835"/>
            <w:shd w:fill="1E40AF"/>
          </w:tcPr>
          <w:p>
            <w:pPr>
              <w:jc w:val="left"/>
            </w:pPr>
            <w:r>
              <w:rPr>
                <w:rFonts w:ascii="Calibri" w:hAnsi="Calibri"/>
                <w:b/>
                <w:color w:val="FFFFFF"/>
                <w:sz w:val="20"/>
              </w:rPr>
              <w:t>Role</w:t>
            </w:r>
          </w:p>
        </w:tc>
        <w:tc>
          <w:tcPr>
            <w:tcW w:type="dxa" w:w="2268"/>
            <w:shd w:fill="1E40AF"/>
          </w:tcPr>
          <w:p>
            <w:pPr>
              <w:jc w:val="left"/>
            </w:pPr>
            <w:r>
              <w:rPr>
                <w:rFonts w:ascii="Calibri" w:hAnsi="Calibri"/>
                <w:b/>
                <w:color w:val="FFFFFF"/>
                <w:sz w:val="20"/>
              </w:rPr>
              <w:t>Date</w:t>
            </w:r>
          </w:p>
        </w:tc>
      </w:tr>
      <w:tr>
        <w:tc>
          <w:tcPr>
            <w:tcW w:type="dxa" w:w="2835"/>
          </w:tcPr>
          <w:p>
            <w:r>
              <w:rPr>
                <w:rFonts w:ascii="Calibri" w:hAnsi="Calibri"/>
                <w:color w:val="333333"/>
                <w:sz w:val="20"/>
              </w:rPr>
              <w:t>Matt Fitzgerald MRICS</w:t>
            </w:r>
          </w:p>
        </w:tc>
        <w:tc>
          <w:tcPr>
            <w:tcW w:type="dxa" w:w="2835"/>
          </w:tcPr>
          <w:p>
            <w:r>
              <w:rPr>
                <w:rFonts w:ascii="Calibri" w:hAnsi="Calibri"/>
                <w:color w:val="333333"/>
                <w:sz w:val="20"/>
              </w:rPr>
              <w:t>Managing Director</w:t>
            </w:r>
          </w:p>
        </w:tc>
        <w:tc>
          <w:tcPr>
            <w:tcW w:type="dxa" w:w="2268"/>
          </w:tcPr>
          <w:p>
            <w:r>
              <w:rPr>
                <w:rFonts w:ascii="Calibri" w:hAnsi="Calibri"/>
                <w:color w:val="333333"/>
                <w:sz w:val="20"/>
              </w:rPr>
              <w:t>February 2026</w:t>
            </w:r>
          </w:p>
        </w:tc>
      </w:tr>
      <w:tr>
        <w:tc>
          <w:tcPr>
            <w:tcW w:type="dxa" w:w="2835"/>
          </w:tcPr>
          <w:p>
            <w:r>
              <w:rPr>
                <w:rFonts w:ascii="Calibri" w:hAnsi="Calibri"/>
                <w:color w:val="333333"/>
                <w:sz w:val="20"/>
              </w:rPr>
              <w:t>Jamie Smyth MRICS</w:t>
            </w:r>
          </w:p>
        </w:tc>
        <w:tc>
          <w:tcPr>
            <w:tcW w:type="dxa" w:w="2835"/>
          </w:tcPr>
          <w:p>
            <w:r>
              <w:rPr>
                <w:rFonts w:ascii="Calibri" w:hAnsi="Calibri"/>
                <w:color w:val="333333"/>
                <w:sz w:val="20"/>
              </w:rPr>
              <w:t>Director</w:t>
            </w:r>
          </w:p>
        </w:tc>
        <w:tc>
          <w:tcPr>
            <w:tcW w:type="dxa" w:w="2268"/>
          </w:tcPr>
          <w:p>
            <w:r>
              <w:rPr>
                <w:rFonts w:ascii="Calibri" w:hAnsi="Calibri"/>
                <w:color w:val="333333"/>
                <w:sz w:val="20"/>
              </w:rPr>
              <w:t>February 2026</w:t>
            </w:r>
          </w:p>
        </w:tc>
      </w:tr>
    </w:tbl>
    <w:p/>
    <w:p>
      <w:pPr>
        <w:pStyle w:val="Heading2"/>
      </w:pPr>
      <w:r>
        <w:t>Review Schedule</w:t>
      </w:r>
    </w:p>
    <w:p>
      <w:pPr>
        <w:spacing w:after="120"/>
      </w:pPr>
      <w:r>
        <w:t>This policy shall be reviewed at least annually, or sooner if there are relevant changes in legislation, regulation, or business operations.</w:t>
      </w:r>
    </w:p>
    <w:tbl>
      <w:tblPr>
        <w:tblStyle w:val="TableGrid"/>
        <w:tblW w:type="auto" w:w="0"/>
        <w:jc w:val="center"/>
        <w:tblLook w:firstColumn="1" w:firstRow="1" w:lastColumn="0" w:lastRow="0" w:noHBand="0" w:noVBand="1" w:val="04A0"/>
      </w:tblPr>
      <w:tblGrid>
        <w:gridCol w:w="4703"/>
        <w:gridCol w:w="4703"/>
      </w:tblGrid>
      <w:tr>
        <w:tc>
          <w:tcPr>
            <w:tcW w:type="dxa" w:w="2835"/>
            <w:shd w:fill="1E40AF"/>
          </w:tcPr>
          <w:p>
            <w:pPr>
              <w:jc w:val="left"/>
            </w:pPr>
            <w:r>
              <w:rPr>
                <w:rFonts w:ascii="Calibri" w:hAnsi="Calibri"/>
                <w:b/>
                <w:color w:val="FFFFFF"/>
                <w:sz w:val="20"/>
              </w:rPr>
              <w:t>Next Review Date</w:t>
            </w:r>
          </w:p>
        </w:tc>
        <w:tc>
          <w:tcPr>
            <w:tcW w:type="dxa" w:w="4535"/>
            <w:shd w:fill="1E40AF"/>
          </w:tcPr>
          <w:p>
            <w:pPr>
              <w:jc w:val="left"/>
            </w:pPr>
            <w:r>
              <w:rPr>
                <w:rFonts w:ascii="Calibri" w:hAnsi="Calibri"/>
                <w:b/>
                <w:color w:val="FFFFFF"/>
                <w:sz w:val="20"/>
              </w:rPr>
              <w:t>Review Owner</w:t>
            </w:r>
          </w:p>
        </w:tc>
      </w:tr>
      <w:tr>
        <w:tc>
          <w:tcPr>
            <w:tcW w:type="dxa" w:w="2835"/>
          </w:tcPr>
          <w:p>
            <w:r>
              <w:rPr>
                <w:rFonts w:ascii="Calibri" w:hAnsi="Calibri"/>
                <w:color w:val="333333"/>
                <w:sz w:val="20"/>
              </w:rPr>
              <w:t>February 2027</w:t>
            </w:r>
          </w:p>
        </w:tc>
        <w:tc>
          <w:tcPr>
            <w:tcW w:type="dxa" w:w="4535"/>
          </w:tcPr>
          <w:p>
            <w:r>
              <w:rPr>
                <w:rFonts w:ascii="Calibri" w:hAnsi="Calibri"/>
                <w:color w:val="333333"/>
                <w:sz w:val="20"/>
              </w:rPr>
              <w:t>Matt Fitzgerald MRICS</w:t>
            </w:r>
          </w:p>
        </w:tc>
      </w:tr>
    </w:tbl>
    <w:p/>
    <w:p>
      <w:pPr>
        <w:pStyle w:val="Heading2"/>
      </w:pPr>
      <w:r>
        <w:t>Distribution</w:t>
      </w:r>
    </w:p>
    <w:p>
      <w:pPr>
        <w:spacing w:after="120"/>
      </w:pPr>
      <w:r>
        <w:t>This policy is distributed to all directors, employees, and consultants of Hillway Holdings Ltd (trading as Hillway Property Consultants). A copy is retained on the firm's shared drive and is available on request.</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4"/>
      </w:rPr>
      <w:t>Hillway Holdings Ltd  |  Cubo, 38 Carver Street, Sheffield S1 4FS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914400" cy="605790"/>
          <wp:docPr id="1" name="Picture 1"/>
          <wp:cNvGraphicFramePr>
            <a:graphicFrameLocks noChangeAspect="1"/>
          </wp:cNvGraphicFramePr>
          <a:graphic>
            <a:graphicData uri="http://schemas.openxmlformats.org/drawingml/2006/picture">
              <pic:pic>
                <pic:nvPicPr>
                  <pic:cNvPr id="0" name="hillway-logo.png"/>
                  <pic:cNvPicPr/>
                </pic:nvPicPr>
                <pic:blipFill>
                  <a:blip r:embed="rId1"/>
                  <a:stretch>
                    <a:fillRect/>
                  </a:stretch>
                </pic:blipFill>
                <pic:spPr>
                  <a:xfrm>
                    <a:off x="0" y="0"/>
                    <a:ext cx="914400" cy="60579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40A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A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