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Anti-Money Laundering Policy</w:t>
      </w:r>
    </w:p>
    <w:p>
      <w:pPr>
        <w:jc w:val="center"/>
      </w:pPr>
      <w:r>
        <w:rPr>
          <w:rFonts w:ascii="Calibri" w:hAnsi="Calibri"/>
          <w:color w:val="64748B"/>
          <w:sz w:val="28"/>
        </w:rPr>
        <w:t>Hillway</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the Anti-Money Laundering (AML) and Counter-Terrorist Financing (CTF) framework for Hillway Holdings Ltd, trading as Hillway ("the Firm"). The Firm is a "relevant person" for the purposes of the Money Laundering, Terrorist Financing and Transfer of Funds (Information on the Payer) Regulations 2017 ("MLR 2017") by virtue of its activities as a property services firm regulated by RICS.</w:t>
      </w:r>
    </w:p>
    <w:p>
      <w:pPr>
        <w:spacing w:after="120"/>
      </w:pPr>
      <w:r>
        <w:t>This policy applies to all directors, employees, consultants, and any other person acting on behalf of the Firm. Compliance is mandatory. Money laundering and terrorist financing are serious criminal offences, and failure to comply with this policy may expose individuals and the Firm to criminal prosecution, regulatory sanctions, and reputational damage.</w:t>
      </w:r>
    </w:p>
    <w:p>
      <w:pPr>
        <w:spacing w:after="120"/>
      </w:pPr>
      <w:r>
        <w:t>The purpose of this policy is to ensure that the Firm and its personnel understand their obligations under the relevant legislation and regulations, and that appropriate systems and controls are in place to prevent the Firm from being used to facilitate money laundering or terrorist financing.</w:t>
      </w:r>
    </w:p>
    <w:p>
      <w:pPr>
        <w:pStyle w:val="Heading1"/>
      </w:pPr>
      <w:r>
        <w:t>2. Legal Framework</w:t>
      </w:r>
    </w:p>
    <w:p>
      <w:pPr>
        <w:spacing w:after="120"/>
      </w:pPr>
      <w:r>
        <w:t>The Firm's AML obligations derive from the following legislation and professional standards:</w:t>
      </w:r>
    </w:p>
    <w:p>
      <w:pPr>
        <w:pStyle w:val="Heading2"/>
      </w:pPr>
      <w:r>
        <w:t>2.1 Money Laundering Regulations 2017 (as amended)</w:t>
      </w:r>
    </w:p>
    <w:p>
      <w:pPr>
        <w:spacing w:after="120"/>
      </w:pPr>
      <w:r>
        <w:t>The Money Laundering, Terrorist Financing and Transfer of Funds (Information on the Payer) Regulations 2017 (SI 2017/692), as amended by the Money Laundering and Terrorist Financing (Amendment) Regulations 2019 and 2022, impose requirements on relevant persons including: conducting risk assessments; applying Customer Due Diligence (CDD); appointing a nominated officer; maintaining records; and providing staff training. The Regulations are enforced by RICS as the supervisory authority for surveying firms.</w:t>
      </w:r>
    </w:p>
    <w:p>
      <w:pPr>
        <w:pStyle w:val="Heading2"/>
      </w:pPr>
      <w:r>
        <w:t>2.2 Proceeds of Crime Act 2002 (POCA)</w:t>
      </w:r>
    </w:p>
    <w:p>
      <w:pPr>
        <w:spacing w:after="120"/>
      </w:pPr>
      <w:r>
        <w:t>POCA creates the principal money laundering offences: concealing, arranging, and acquiring criminal property (sections 327-329). It also creates the offence of failure to disclose knowledge or suspicion of money laundering (sections 330-332) and the offence of tipping off (section 333A). The Firm's personnel must be aware that these are criminal offences carrying substantial prison sentences.</w:t>
      </w:r>
    </w:p>
    <w:p>
      <w:pPr>
        <w:pStyle w:val="Heading2"/>
      </w:pPr>
      <w:r>
        <w:t>2.3 Terrorism Act 2000</w:t>
      </w:r>
    </w:p>
    <w:p>
      <w:pPr>
        <w:spacing w:after="120"/>
      </w:pPr>
      <w:r>
        <w:t>The Terrorism Act 2000 creates offences relating to terrorist financing, including fundraising, use and possession of money or property for terrorist purposes, and failure to disclose information about terrorist financing. Similar reporting obligations apply as under POCA.</w:t>
      </w:r>
    </w:p>
    <w:p>
      <w:pPr>
        <w:pStyle w:val="Heading2"/>
      </w:pPr>
      <w:r>
        <w:t>2.4 RICS Professional Statement</w:t>
      </w:r>
    </w:p>
    <w:p>
      <w:pPr>
        <w:spacing w:after="120"/>
      </w:pPr>
      <w:r>
        <w:t>The RICS Professional Statement: Countering Bribery and Corruption, Money Laundering and Terrorist Financing (1st edition, January 2019) sets out mandatory requirements for RICS regulated firms. This includes requirements for risk assessment, policies and procedures, due diligence, reporting, training, and record keeping. Compliance with this professional statement is mandatory for the Firm.</w:t>
      </w:r>
    </w:p>
    <w:p>
      <w:r>
        <w:br w:type="page"/>
      </w:r>
    </w:p>
    <w:p>
      <w:pPr>
        <w:pStyle w:val="Heading1"/>
      </w:pPr>
      <w:r>
        <w:t>3. Money Laundering Reporting Officer (MLRO)</w:t>
      </w:r>
    </w:p>
    <w:p>
      <w:pPr>
        <w:spacing w:after="120"/>
      </w:pPr>
      <w:r>
        <w:t>The Firm has appointed a Money Laundering Reporting Officer (MLRO) in accordance with the requirements of the MLR 2017 and the RICS Professional Statement.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E40AF"/>
          </w:tcPr>
          <w:p>
            <w:pPr>
              <w:jc w:val="left"/>
            </w:pPr>
            <w:r>
              <w:rPr>
                <w:rFonts w:ascii="Calibri" w:hAnsi="Calibri"/>
                <w:b/>
                <w:color w:val="FFFFFF"/>
                <w:sz w:val="20"/>
              </w:rPr>
              <w:t>Role</w:t>
            </w:r>
          </w:p>
        </w:tc>
        <w:tc>
          <w:tcPr>
            <w:tcW w:type="dxa" w:w="2835"/>
            <w:shd w:fill="1E40AF"/>
          </w:tcPr>
          <w:p>
            <w:pPr>
              <w:jc w:val="left"/>
            </w:pPr>
            <w:r>
              <w:rPr>
                <w:rFonts w:ascii="Calibri" w:hAnsi="Calibri"/>
                <w:b/>
                <w:color w:val="FFFFFF"/>
                <w:sz w:val="20"/>
              </w:rPr>
              <w:t>Name</w:t>
            </w:r>
          </w:p>
        </w:tc>
        <w:tc>
          <w:tcPr>
            <w:tcW w:type="dxa" w:w="2835"/>
            <w:shd w:fill="1E40AF"/>
          </w:tcPr>
          <w:p>
            <w:pPr>
              <w:jc w:val="left"/>
            </w:pPr>
            <w:r>
              <w:rPr>
                <w:rFonts w:ascii="Calibri" w:hAnsi="Calibri"/>
                <w:b/>
                <w:color w:val="FFFFFF"/>
                <w:sz w:val="20"/>
              </w:rPr>
              <w:t>Position</w:t>
            </w:r>
          </w:p>
        </w:tc>
      </w:tr>
      <w:tr>
        <w:tc>
          <w:tcPr>
            <w:tcW w:type="dxa" w:w="2268"/>
          </w:tcPr>
          <w:p>
            <w:r>
              <w:rPr>
                <w:rFonts w:ascii="Calibri" w:hAnsi="Calibri"/>
                <w:color w:val="333333"/>
                <w:sz w:val="20"/>
              </w:rPr>
              <w:t>MLRO</w:t>
            </w:r>
          </w:p>
        </w:tc>
        <w:tc>
          <w:tcPr>
            <w:tcW w:type="dxa" w:w="2835"/>
          </w:tcPr>
          <w:p>
            <w:r>
              <w:rPr>
                <w:rFonts w:ascii="Calibri" w:hAnsi="Calibri"/>
                <w:color w:val="333333"/>
                <w:sz w:val="20"/>
              </w:rPr>
              <w:t>Matt Fitzgerald MRICS</w:t>
            </w:r>
          </w:p>
        </w:tc>
        <w:tc>
          <w:tcPr>
            <w:tcW w:type="dxa" w:w="2835"/>
          </w:tcPr>
          <w:p>
            <w:r>
              <w:rPr>
                <w:rFonts w:ascii="Calibri" w:hAnsi="Calibri"/>
                <w:color w:val="333333"/>
                <w:sz w:val="20"/>
              </w:rPr>
              <w:t>Managing Director</w:t>
            </w:r>
          </w:p>
        </w:tc>
      </w:tr>
      <w:tr>
        <w:tc>
          <w:tcPr>
            <w:tcW w:type="dxa" w:w="2268"/>
          </w:tcPr>
          <w:p>
            <w:r>
              <w:rPr>
                <w:rFonts w:ascii="Calibri" w:hAnsi="Calibri"/>
                <w:color w:val="333333"/>
                <w:sz w:val="20"/>
              </w:rPr>
              <w:t>Deputy MLRO</w:t>
            </w:r>
          </w:p>
        </w:tc>
        <w:tc>
          <w:tcPr>
            <w:tcW w:type="dxa" w:w="2835"/>
          </w:tcPr>
          <w:p>
            <w:r>
              <w:rPr>
                <w:rFonts w:ascii="Calibri" w:hAnsi="Calibri"/>
                <w:color w:val="333333"/>
                <w:sz w:val="20"/>
              </w:rPr>
              <w:t>Jamie Smyth MRICS</w:t>
            </w:r>
          </w:p>
        </w:tc>
        <w:tc>
          <w:tcPr>
            <w:tcW w:type="dxa" w:w="2835"/>
          </w:tcPr>
          <w:p>
            <w:r>
              <w:rPr>
                <w:rFonts w:ascii="Calibri" w:hAnsi="Calibri"/>
                <w:color w:val="333333"/>
                <w:sz w:val="20"/>
              </w:rPr>
              <w:t>Director</w:t>
            </w:r>
          </w:p>
        </w:tc>
      </w:tr>
    </w:tbl>
    <w:p/>
    <w:p>
      <w:pPr>
        <w:pStyle w:val="Heading2"/>
      </w:pPr>
      <w:r>
        <w:t>3.1 MLRO Responsibilities</w:t>
      </w:r>
    </w:p>
    <w:p>
      <w:pPr>
        <w:spacing w:after="120"/>
      </w:pPr>
      <w:r>
        <w:t>The MLRO is responsible for:</w:t>
      </w:r>
    </w:p>
    <w:p>
      <w:pPr>
        <w:pStyle w:val="ListBullet"/>
        <w:spacing w:after="60"/>
      </w:pPr>
      <w:r>
        <w:t>Receiving internal suspicious activity reports from staff and assessing whether a Suspicious Activity Report (SAR) should be made to the National Crime Agency (NCA).</w:t>
      </w:r>
    </w:p>
    <w:p>
      <w:pPr>
        <w:pStyle w:val="ListBullet"/>
        <w:spacing w:after="60"/>
      </w:pPr>
      <w:r>
        <w:t>Submitting SARs to the NCA where appropriate, including Defence Against Money Laundering (DAML) requests.</w:t>
      </w:r>
    </w:p>
    <w:p>
      <w:pPr>
        <w:pStyle w:val="ListBullet"/>
        <w:spacing w:after="60"/>
      </w:pPr>
      <w:r>
        <w:t>Maintaining the Firm's AML risk assessment and ensuring it is reviewed at least annually.</w:t>
      </w:r>
    </w:p>
    <w:p>
      <w:pPr>
        <w:pStyle w:val="ListBullet"/>
        <w:spacing w:after="60"/>
      </w:pPr>
      <w:r>
        <w:t>Ensuring that all staff receive appropriate AML training at induction and on an ongoing basis.</w:t>
      </w:r>
    </w:p>
    <w:p>
      <w:pPr>
        <w:pStyle w:val="ListBullet"/>
        <w:spacing w:after="60"/>
      </w:pPr>
      <w:r>
        <w:t>Monitoring compliance with this policy and the Firm's CDD procedures.</w:t>
      </w:r>
    </w:p>
    <w:p>
      <w:pPr>
        <w:pStyle w:val="ListBullet"/>
        <w:spacing w:after="60"/>
      </w:pPr>
      <w:r>
        <w:t>Acting as the point of contact with RICS and law enforcement on AML matters.</w:t>
      </w:r>
    </w:p>
    <w:p>
      <w:pPr>
        <w:pStyle w:val="ListBullet"/>
        <w:spacing w:after="60"/>
      </w:pPr>
      <w:r>
        <w:t>Maintaining records of all internal reports, SARs, and AML decisions.</w:t>
      </w:r>
    </w:p>
    <w:p>
      <w:pPr>
        <w:pStyle w:val="ListBullet"/>
        <w:spacing w:after="60"/>
      </w:pPr>
      <w:r>
        <w:t>Keeping up to date with changes in AML legislation and guidance.</w:t>
      </w:r>
    </w:p>
    <w:p>
      <w:pPr>
        <w:pStyle w:val="Heading2"/>
      </w:pPr>
      <w:r>
        <w:t>3.2 Deputy MLRO</w:t>
      </w:r>
    </w:p>
    <w:p>
      <w:pPr>
        <w:spacing w:after="120"/>
      </w:pPr>
      <w:r>
        <w:t>The Deputy MLRO acts in the absence of the MLRO and has the same responsibilities and authority. In the event that a suspicious activity relates to the MLRO personally, the Deputy MLRO shall receive and deal with the report.</w:t>
      </w:r>
    </w:p>
    <w:p>
      <w:pPr>
        <w:pStyle w:val="Heading1"/>
      </w:pPr>
      <w:r>
        <w:t>4. Risk Assessment</w:t>
      </w:r>
    </w:p>
    <w:p>
      <w:pPr>
        <w:spacing w:after="120"/>
      </w:pPr>
      <w:r>
        <w:t>The Firm conducts a firm-wide money laundering and terrorist financing risk assessment in accordance with Regulation 18 of the MLR 2017. This risk assessment is maintained by the MLRO and is reviewed at least annually, or more frequently if there are material changes to the Firm's business, client base, or the external risk environment.</w:t>
      </w:r>
    </w:p>
    <w:p>
      <w:pPr>
        <w:pStyle w:val="Heading2"/>
      </w:pPr>
      <w:r>
        <w:t>4.1 Risk Factors</w:t>
      </w:r>
    </w:p>
    <w:p>
      <w:pPr>
        <w:spacing w:after="120"/>
      </w:pPr>
      <w:r>
        <w:t>The risk assessment considers the following categories of risk:</w:t>
      </w:r>
    </w:p>
    <w:p>
      <w:pPr>
        <w:spacing w:after="80"/>
      </w:pPr>
      <w:r>
        <w:rPr>
          <w:rFonts w:ascii="Calibri" w:hAnsi="Calibri"/>
          <w:b/>
          <w:color w:val="333333"/>
          <w:sz w:val="22"/>
        </w:rPr>
        <w:t>Client Risk:</w:t>
      </w:r>
      <w:r>
        <w:rPr>
          <w:rFonts w:ascii="Calibri" w:hAnsi="Calibri"/>
        </w:rPr>
        <w:t xml:space="preserve"> Clients with complex ownership structures, clients based in or with connections to high-risk jurisdictions, trusts, politically exposed persons (PEPs), and cash-rich businesses.</w:t>
      </w:r>
    </w:p>
    <w:p>
      <w:pPr>
        <w:spacing w:after="80"/>
      </w:pPr>
      <w:r>
        <w:rPr>
          <w:rFonts w:ascii="Calibri" w:hAnsi="Calibri"/>
          <w:b/>
          <w:color w:val="333333"/>
          <w:sz w:val="22"/>
        </w:rPr>
        <w:t>Geographic Risk:</w:t>
      </w:r>
      <w:r>
        <w:rPr>
          <w:rFonts w:ascii="Calibri" w:hAnsi="Calibri"/>
        </w:rPr>
        <w:t xml:space="preserve"> Countries or regions identified by FATF as having deficient AML/CTF regimes, countries subject to sanctions, and jurisdictions with high levels of corruption or organised crime.</w:t>
      </w:r>
    </w:p>
    <w:p>
      <w:pPr>
        <w:spacing w:after="80"/>
      </w:pPr>
      <w:r>
        <w:rPr>
          <w:rFonts w:ascii="Calibri" w:hAnsi="Calibri"/>
          <w:b/>
          <w:color w:val="333333"/>
          <w:sz w:val="22"/>
        </w:rPr>
        <w:t>Service/Product Risk:</w:t>
      </w:r>
      <w:r>
        <w:rPr>
          <w:rFonts w:ascii="Calibri" w:hAnsi="Calibri"/>
        </w:rPr>
        <w:t xml:space="preserve"> Services that involve high-value transactions (property acquisitions and disposals), services involving cash or third-party payments, and services where the Firm handles client money.</w:t>
      </w:r>
    </w:p>
    <w:p>
      <w:pPr>
        <w:spacing w:after="80"/>
      </w:pPr>
      <w:r>
        <w:rPr>
          <w:rFonts w:ascii="Calibri" w:hAnsi="Calibri"/>
          <w:b/>
          <w:color w:val="333333"/>
          <w:sz w:val="22"/>
        </w:rPr>
        <w:t>Delivery Channel Risk:</w:t>
      </w:r>
      <w:r>
        <w:rPr>
          <w:rFonts w:ascii="Calibri" w:hAnsi="Calibri"/>
        </w:rPr>
        <w:t xml:space="preserve"> Non-face-to-face relationships, transactions conducted through intermediaries, and unusual or complex delivery arrangements.</w:t>
      </w:r>
    </w:p>
    <w:p>
      <w:pPr>
        <w:pStyle w:val="Heading2"/>
      </w:pPr>
      <w:r>
        <w:t>4.2 Risk Mitigation</w:t>
      </w:r>
    </w:p>
    <w:p>
      <w:pPr>
        <w:spacing w:after="120"/>
      </w:pPr>
      <w:r>
        <w:t>Based on the risk assessment, the Firm applies proportionate measures to mitigate identified risks. These include CDD procedures, Enhanced Due Diligence (EDD) for higher-risk situations, ongoing monitoring of business relationships, and staff training. The risk assessment is documented and available for inspection by RICS.</w:t>
      </w:r>
    </w:p>
    <w:p>
      <w:pPr>
        <w:pStyle w:val="Heading1"/>
      </w:pPr>
      <w:r>
        <w:t>5. Customer Due Diligence (CDD)</w:t>
      </w:r>
    </w:p>
    <w:p>
      <w:pPr>
        <w:spacing w:after="120"/>
      </w:pPr>
      <w:r>
        <w:t>The Firm must conduct CDD on all clients before establishing a business relationship or carrying out an occasional transaction. CDD must be completed before services are provided.</w:t>
      </w:r>
    </w:p>
    <w:p>
      <w:pPr>
        <w:pStyle w:val="Heading2"/>
      </w:pPr>
      <w:r>
        <w:t>5.1 When CDD Is Required</w:t>
      </w:r>
    </w:p>
    <w:p>
      <w:pPr>
        <w:spacing w:after="120"/>
      </w:pPr>
      <w:r>
        <w:t>CDD must be applied:</w:t>
      </w:r>
    </w:p>
    <w:p>
      <w:pPr>
        <w:pStyle w:val="ListBullet"/>
        <w:spacing w:after="60"/>
      </w:pPr>
      <w:r>
        <w:t>When establishing a new business relationship with a client.</w:t>
      </w:r>
    </w:p>
    <w:p>
      <w:pPr>
        <w:pStyle w:val="ListBullet"/>
        <w:spacing w:after="60"/>
      </w:pPr>
      <w:r>
        <w:t>When carrying out an occasional transaction amounting to EUR 15,000 or more (or the equivalent in any currency).</w:t>
      </w:r>
    </w:p>
    <w:p>
      <w:pPr>
        <w:pStyle w:val="ListBullet"/>
        <w:spacing w:after="60"/>
      </w:pPr>
      <w:r>
        <w:t>When there is a suspicion of money laundering or terrorist financing, regardless of the value of any transaction.</w:t>
      </w:r>
    </w:p>
    <w:p>
      <w:pPr>
        <w:pStyle w:val="ListBullet"/>
        <w:spacing w:after="60"/>
      </w:pPr>
      <w:r>
        <w:t>When there are doubts about the veracity or adequacy of documents or information previously obtained for the purpose of identification or verification.</w:t>
      </w:r>
    </w:p>
    <w:p>
      <w:pPr>
        <w:pStyle w:val="Heading2"/>
      </w:pPr>
      <w:r>
        <w:t>5.2 Identity Verification — Individuals</w:t>
      </w:r>
    </w:p>
    <w:p>
      <w:pPr>
        <w:spacing w:after="120"/>
      </w:pPr>
      <w:r>
        <w:t>For individual clients, the Firm must verify identity using documents from the following categories:</w:t>
      </w:r>
    </w:p>
    <w:p>
      <w:pPr>
        <w:spacing w:after="80"/>
      </w:pPr>
      <w:r>
        <w:rPr>
          <w:rFonts w:ascii="Calibri" w:hAnsi="Calibri"/>
          <w:b/>
          <w:color w:val="333333"/>
          <w:sz w:val="22"/>
        </w:rPr>
        <w:t>Photographic ID (one required):</w:t>
      </w:r>
      <w:r>
        <w:rPr>
          <w:rFonts w:ascii="Calibri" w:hAnsi="Calibri"/>
        </w:rPr>
        <w:t xml:space="preserve"> Valid passport, valid photocard driving licence (full or provisional), national identity card bearing a photograph, or valid biometric immigration document.</w:t>
      </w:r>
    </w:p>
    <w:p>
      <w:pPr>
        <w:spacing w:after="80"/>
      </w:pPr>
      <w:r>
        <w:rPr>
          <w:rFonts w:ascii="Calibri" w:hAnsi="Calibri"/>
          <w:b/>
          <w:color w:val="333333"/>
          <w:sz w:val="22"/>
        </w:rPr>
        <w:t>Proof of Address (one required):</w:t>
      </w:r>
      <w:r>
        <w:rPr>
          <w:rFonts w:ascii="Calibri" w:hAnsi="Calibri"/>
        </w:rPr>
        <w:t xml:space="preserve"> Utility bill (not mobile phone bill) issued within the last 3 months, bank or building society statement issued within the last 3 months, council tax bill for the current year, or current mortgage statement.</w:t>
      </w:r>
    </w:p>
    <w:p>
      <w:pPr>
        <w:spacing w:after="120"/>
      </w:pPr>
      <w:r>
        <w:t>Documents should be originals or certified copies. Where documents are provided electronically, the Firm may use electronic verification services to supplement document-based checks.</w:t>
      </w:r>
    </w:p>
    <w:p>
      <w:pPr>
        <w:pStyle w:val="Heading2"/>
      </w:pPr>
      <w:r>
        <w:t>5.3 Identity Verification — Companies</w:t>
      </w:r>
    </w:p>
    <w:p>
      <w:pPr>
        <w:spacing w:after="120"/>
      </w:pPr>
      <w:r>
        <w:t>For corporate clients, the Firm must:</w:t>
      </w:r>
    </w:p>
    <w:p>
      <w:pPr>
        <w:pStyle w:val="ListBullet"/>
        <w:spacing w:after="60"/>
      </w:pPr>
      <w:r>
        <w:t>Verify the company's name, registered number, and registered office address via Companies House.</w:t>
      </w:r>
    </w:p>
    <w:p>
      <w:pPr>
        <w:pStyle w:val="ListBullet"/>
        <w:spacing w:after="60"/>
      </w:pPr>
      <w:r>
        <w:t>Obtain a copy of the certificate of incorporation or equivalent.</w:t>
      </w:r>
    </w:p>
    <w:p>
      <w:pPr>
        <w:pStyle w:val="ListBullet"/>
        <w:spacing w:after="60"/>
      </w:pPr>
      <w:r>
        <w:t>Identify and verify the identity of the beneficial owners — any individual who holds more than 25% of the shares or voting rights, or who otherwise exercises control over the company.</w:t>
      </w:r>
    </w:p>
    <w:p>
      <w:pPr>
        <w:pStyle w:val="ListBullet"/>
        <w:spacing w:after="60"/>
      </w:pPr>
      <w:r>
        <w:t>Check the People with Significant Control (PSC) register at Companies House.</w:t>
      </w:r>
    </w:p>
    <w:p>
      <w:pPr>
        <w:pStyle w:val="ListBullet"/>
        <w:spacing w:after="60"/>
      </w:pPr>
      <w:r>
        <w:t>Verify the identity of the person(s) instructing the Firm on behalf of the company and confirm their authority to act.</w:t>
      </w:r>
    </w:p>
    <w:p>
      <w:pPr>
        <w:pStyle w:val="Heading2"/>
      </w:pPr>
      <w:r>
        <w:t>5.4 Ongoing Monitoring</w:t>
      </w:r>
    </w:p>
    <w:p>
      <w:pPr>
        <w:spacing w:after="120"/>
      </w:pPr>
      <w:r>
        <w:t>CDD is not a one-off exercise. The Firm conducts ongoing monitoring of all business relationships, including scrutiny of transactions undertaken throughout the course of the relationship to ensure they are consistent with the Firm's knowledge of the client, their business, and risk profile. CDD records must be kept up to date.</w:t>
      </w:r>
    </w:p>
    <w:p>
      <w:r>
        <w:br w:type="page"/>
      </w:r>
    </w:p>
    <w:p>
      <w:pPr>
        <w:pStyle w:val="Heading1"/>
      </w:pPr>
      <w:r>
        <w:t>6. Enhanced Due Diligence (EDD)</w:t>
      </w:r>
    </w:p>
    <w:p>
      <w:pPr>
        <w:spacing w:after="120"/>
      </w:pPr>
      <w:r>
        <w:t>EDD must be applied in situations that present a higher risk of money laundering or terrorist financing. EDD involves more extensive checks and a greater depth of scrutiny.</w:t>
      </w:r>
    </w:p>
    <w:p>
      <w:pPr>
        <w:pStyle w:val="Heading2"/>
      </w:pPr>
      <w:r>
        <w:t>6.1 Politically Exposed Persons (PEPs)</w:t>
      </w:r>
    </w:p>
    <w:p>
      <w:pPr>
        <w:spacing w:after="120"/>
      </w:pPr>
      <w:r>
        <w:t>A PEP is an individual who holds or has held a prominent public function, their family members, and known close associates. Where a client is identified as a PEP, the Firm must: obtain senior management approval for the business relationship; take adequate measures to establish the source of wealth and source of funds; and conduct enhanced ongoing monitoring of the relationship.</w:t>
      </w:r>
    </w:p>
    <w:p>
      <w:pPr>
        <w:pStyle w:val="Heading2"/>
      </w:pPr>
      <w:r>
        <w:t>6.2 High-Risk Third Countries</w:t>
      </w:r>
    </w:p>
    <w:p>
      <w:pPr>
        <w:spacing w:after="120"/>
      </w:pPr>
      <w:r>
        <w:t>Where a client is based in or has substantial connections to a country identified by the Financial Action Task Force (FATF) as having strategic deficiencies in its AML/CTF regime, EDD must be applied. The MLRO maintains a current list of high-risk jurisdictions.</w:t>
      </w:r>
    </w:p>
    <w:p>
      <w:pPr>
        <w:pStyle w:val="Heading2"/>
      </w:pPr>
      <w:r>
        <w:t>6.3 Complex or Unusual Transactions</w:t>
      </w:r>
    </w:p>
    <w:p>
      <w:pPr>
        <w:spacing w:after="120"/>
      </w:pPr>
      <w:r>
        <w:t>EDD must be applied to any transaction that is unusually complex, unusually large, or has an unusual pattern, or that has no apparent economic or legal purpose. Staff must report such transactions to the MLRO immediately.</w:t>
      </w:r>
    </w:p>
    <w:p>
      <w:pPr>
        <w:pStyle w:val="Heading2"/>
      </w:pPr>
      <w:r>
        <w:t>6.4 Non-Face-to-Face Relationships</w:t>
      </w:r>
    </w:p>
    <w:p>
      <w:pPr>
        <w:spacing w:after="120"/>
      </w:pPr>
      <w:r>
        <w:t>Where the Firm enters into a business relationship without meeting the client in person, additional verification measures must be applied to compensate for the higher risk. This may include additional documentary verification, electronic verification checks, or requiring the first payment to come from an account in the client's name at a UK-regulated bank.</w:t>
      </w:r>
    </w:p>
    <w:p>
      <w:pPr>
        <w:pStyle w:val="Heading1"/>
      </w:pPr>
      <w:r>
        <w:t>7. Simplified Due Diligence (SDD)</w:t>
      </w:r>
    </w:p>
    <w:p>
      <w:pPr>
        <w:spacing w:after="120"/>
      </w:pPr>
      <w:r>
        <w:t>Simplified Due Diligence may be applied where the Firm has assessed that the business relationship or transaction presents a low risk of money laundering or terrorist financing. SDD must not be applied where there is any suspicion of money laundering or terrorist financing.</w:t>
      </w:r>
    </w:p>
    <w:p>
      <w:pPr>
        <w:spacing w:after="120"/>
      </w:pPr>
      <w:r>
        <w:t>SDD may be appropriate where the client is:</w:t>
      </w:r>
    </w:p>
    <w:p>
      <w:pPr>
        <w:pStyle w:val="ListBullet"/>
        <w:spacing w:after="60"/>
      </w:pPr>
      <w:r>
        <w:t>A company listed on a regulated market (e.g. London Stock Exchange) and subject to disclosure requirements.</w:t>
      </w:r>
    </w:p>
    <w:p>
      <w:pPr>
        <w:pStyle w:val="ListBullet"/>
        <w:spacing w:after="60"/>
      </w:pPr>
      <w:r>
        <w:t>A public administration or public body within the UK.</w:t>
      </w:r>
    </w:p>
    <w:p>
      <w:pPr>
        <w:pStyle w:val="ListBullet"/>
        <w:spacing w:after="60"/>
      </w:pPr>
      <w:r>
        <w:t>A financial institution regulated in the UK or an equivalent jurisdiction.</w:t>
      </w:r>
    </w:p>
    <w:p>
      <w:pPr>
        <w:spacing w:after="120"/>
      </w:pPr>
      <w:r>
        <w:t>Even where SDD is applied, the Firm must maintain sufficient information to identify the client and must conduct sufficient ongoing monitoring to detect any unusual or suspicious activity.</w:t>
      </w:r>
    </w:p>
    <w:p>
      <w:pPr>
        <w:pStyle w:val="Heading1"/>
      </w:pPr>
      <w:r>
        <w:t>8. Suspicious Activity Reporting</w:t>
      </w:r>
    </w:p>
    <w:p>
      <w:pPr>
        <w:pStyle w:val="Heading2"/>
      </w:pPr>
      <w:r>
        <w:t>8.1 What Constitutes Suspicious Activity</w:t>
      </w:r>
    </w:p>
    <w:p>
      <w:pPr>
        <w:spacing w:after="120"/>
      </w:pPr>
      <w:r>
        <w:t>A suspicion is more than mere speculation but less than certainty. It is a feeling that something is wrong, based on information or observations. Suspicion may arise from:</w:t>
      </w:r>
    </w:p>
    <w:p>
      <w:pPr>
        <w:pStyle w:val="ListBullet"/>
        <w:spacing w:after="60"/>
      </w:pPr>
      <w:r>
        <w:t>Unusual transaction patterns or activity inconsistent with the client's known profile.</w:t>
      </w:r>
    </w:p>
    <w:p>
      <w:pPr>
        <w:pStyle w:val="ListBullet"/>
        <w:spacing w:after="60"/>
      </w:pPr>
      <w:r>
        <w:t>Reluctance by the client to provide identification or CDD information.</w:t>
      </w:r>
    </w:p>
    <w:p>
      <w:pPr>
        <w:pStyle w:val="ListBullet"/>
        <w:spacing w:after="60"/>
      </w:pPr>
      <w:r>
        <w:t>The use of cash for high-value transactions.</w:t>
      </w:r>
    </w:p>
    <w:p>
      <w:pPr>
        <w:pStyle w:val="ListBullet"/>
        <w:spacing w:after="60"/>
      </w:pPr>
      <w:r>
        <w:t>Transactions involving high-risk jurisdictions without apparent business rationale.</w:t>
      </w:r>
    </w:p>
    <w:p>
      <w:pPr>
        <w:pStyle w:val="ListBullet"/>
        <w:spacing w:after="60"/>
      </w:pPr>
      <w:r>
        <w:t>Complex ownership structures designed to obscure beneficial ownership.</w:t>
      </w:r>
    </w:p>
    <w:p>
      <w:pPr>
        <w:pStyle w:val="ListBullet"/>
        <w:spacing w:after="60"/>
      </w:pPr>
      <w:r>
        <w:t>Information in the public domain about the client's involvement in criminal activity.</w:t>
      </w:r>
    </w:p>
    <w:p>
      <w:pPr>
        <w:pStyle w:val="ListBullet"/>
        <w:spacing w:after="60"/>
      </w:pPr>
      <w:r>
        <w:t>Instructions to pay sale proceeds to an unrelated third party.</w:t>
      </w:r>
    </w:p>
    <w:p>
      <w:pPr>
        <w:pStyle w:val="ListBullet"/>
        <w:spacing w:after="60"/>
      </w:pPr>
      <w:r>
        <w:t>A client who appears unconcerned about the cost of a property transaction.</w:t>
      </w:r>
    </w:p>
    <w:p>
      <w:pPr>
        <w:pStyle w:val="Heading2"/>
      </w:pPr>
      <w:r>
        <w:t>8.2 Internal Reporting (to MLRO)</w:t>
      </w:r>
    </w:p>
    <w:p>
      <w:pPr>
        <w:spacing w:after="120"/>
      </w:pPr>
      <w:r>
        <w:t>Any member of staff who has knowledge, suspicion, or reasonable grounds for suspicion that a person is engaged in money laundering or terrorist financing must report this to the MLRO as soon as practicable. Reports should be made using the Firm's internal suspicious activity report form and should include: the identity of the person(s) involved; the nature and details of the suspicious activity; and any relevant supporting information.</w:t>
      </w:r>
    </w:p>
    <w:p>
      <w:pPr>
        <w:spacing w:after="120"/>
      </w:pPr>
      <w:r>
        <w:t>Staff must NOT make any further enquiries into the matter unless directed to do so by the MLRO. The obligation to report is personal — it cannot be delegated and applies regardless of whether the person believes the matter is significant.</w:t>
      </w:r>
    </w:p>
    <w:p>
      <w:pPr>
        <w:pStyle w:val="Heading2"/>
      </w:pPr>
      <w:r>
        <w:t>8.3 MLRO Assessment and SAR to NCA</w:t>
      </w:r>
    </w:p>
    <w:p>
      <w:pPr>
        <w:spacing w:after="120"/>
      </w:pPr>
      <w:r>
        <w:t>Upon receiving an internal report, the MLRO will assess whether the information gives rise to knowledge or suspicion (or reasonable grounds for knowledge or suspicion) of money laundering or terrorist financing. If it does, the MLRO must submit a Suspicious Activity Report (SAR) to the National Crime Agency (NCA) via the SAR Online portal. The MLRO must keep a record of all decisions made, including where a decision is taken not to submit a SAR, and the reasons for that decision.</w:t>
      </w:r>
    </w:p>
    <w:p>
      <w:pPr>
        <w:pStyle w:val="Heading2"/>
      </w:pPr>
      <w:r>
        <w:t>8.4 Tipping Off</w:t>
      </w:r>
    </w:p>
    <w:p>
      <w:pPr>
        <w:spacing w:after="120"/>
      </w:pPr>
      <w:r>
        <w:t>It is a criminal offence under section 333A of POCA to disclose to any person that a SAR has been made, or that a money laundering investigation is being or may be conducted, where that disclosure is likely to prejudice any investigation. This is known as "tipping off."</w:t>
      </w:r>
    </w:p>
    <w:p>
      <w:pPr>
        <w:spacing w:after="120"/>
      </w:pPr>
      <w:r>
        <w:t>Staff must NEVER inform the client (or any other person outside the Firm) that a report has been made or is being considered. The tipping off offence carries a maximum sentence of 5 years' imprisonment and/or an unlimited fine.</w:t>
      </w:r>
    </w:p>
    <w:p>
      <w:pPr>
        <w:pStyle w:val="Heading2"/>
      </w:pPr>
      <w:r>
        <w:t>8.5 Consent Regime (Defence Against Money Laundering)</w:t>
      </w:r>
    </w:p>
    <w:p>
      <w:pPr>
        <w:spacing w:after="120"/>
      </w:pPr>
      <w:r>
        <w:t>Where the Firm is required to continue with a transaction that it knows or suspects involves the proceeds of crime, the MLRO must submit a Defence Against Money Laundering (DAML) request to the NCA seeking consent to proceed. The Firm must not proceed with the transaction until consent is received from the NCA (either express consent or deemed consent after the applicable notice period).</w:t>
      </w:r>
    </w:p>
    <w:p>
      <w:r>
        <w:br w:type="page"/>
      </w:r>
    </w:p>
    <w:p>
      <w:pPr>
        <w:pStyle w:val="Heading1"/>
      </w:pPr>
      <w:r>
        <w:t>9. Record Keeping</w:t>
      </w:r>
    </w:p>
    <w:p>
      <w:pPr>
        <w:spacing w:after="120"/>
      </w:pPr>
      <w:r>
        <w:t>The Firm must retain records of all CDD and AML-related documents for a period of 5 years from the end of the business relationship or the completion of the occasional transaction, whichever is later.</w:t>
      </w:r>
    </w:p>
    <w:p>
      <w:pPr>
        <w:pStyle w:val="Heading2"/>
      </w:pPr>
      <w:r>
        <w:t>9.1 Records to Retain</w:t>
      </w:r>
    </w:p>
    <w:p>
      <w:pPr>
        <w:spacing w:after="120"/>
      </w:pPr>
      <w:r>
        <w:t>The following records must be retained:</w:t>
      </w:r>
    </w:p>
    <w:p>
      <w:pPr>
        <w:pStyle w:val="ListBullet"/>
        <w:spacing w:after="60"/>
      </w:pPr>
      <w:r>
        <w:t>Copies of identification documents obtained during CDD (passports, driving licences, utility bills, company searches).</w:t>
      </w:r>
    </w:p>
    <w:p>
      <w:pPr>
        <w:pStyle w:val="ListBullet"/>
        <w:spacing w:after="60"/>
      </w:pPr>
      <w:r>
        <w:t>Records of verification checks conducted, including electronic verification results.</w:t>
      </w:r>
    </w:p>
    <w:p>
      <w:pPr>
        <w:pStyle w:val="ListBullet"/>
        <w:spacing w:after="60"/>
      </w:pPr>
      <w:r>
        <w:t>Records of risk assessments performed on clients and transactions.</w:t>
      </w:r>
    </w:p>
    <w:p>
      <w:pPr>
        <w:pStyle w:val="ListBullet"/>
        <w:spacing w:after="60"/>
      </w:pPr>
      <w:r>
        <w:t>Records of any EDD measures applied and the reasons for applying them.</w:t>
      </w:r>
    </w:p>
    <w:p>
      <w:pPr>
        <w:pStyle w:val="ListBullet"/>
        <w:spacing w:after="60"/>
      </w:pPr>
      <w:r>
        <w:t>Internal suspicious activity reports submitted to the MLRO.</w:t>
      </w:r>
    </w:p>
    <w:p>
      <w:pPr>
        <w:pStyle w:val="ListBullet"/>
        <w:spacing w:after="60"/>
      </w:pPr>
      <w:r>
        <w:t>Records of SARs submitted to the NCA (noting that copies of the SAR itself should be stored securely and access restricted to the MLRO and Deputy MLRO).</w:t>
      </w:r>
    </w:p>
    <w:p>
      <w:pPr>
        <w:pStyle w:val="ListBullet"/>
        <w:spacing w:after="60"/>
      </w:pPr>
      <w:r>
        <w:t>Records of training provided to staff.</w:t>
      </w:r>
    </w:p>
    <w:p>
      <w:pPr>
        <w:pStyle w:val="ListBullet"/>
        <w:spacing w:after="60"/>
      </w:pPr>
      <w:r>
        <w:t>The Firm's risk assessment and any updates thereto.</w:t>
      </w:r>
    </w:p>
    <w:p>
      <w:pPr>
        <w:pStyle w:val="Heading2"/>
      </w:pPr>
      <w:r>
        <w:t>9.2 Secure Storage</w:t>
      </w:r>
    </w:p>
    <w:p>
      <w:pPr>
        <w:spacing w:after="120"/>
      </w:pPr>
      <w:r>
        <w:t>AML records must be stored securely, with access restricted to authorised personnel. Electronic records must be backed up regularly. Physical records must be stored in locked cabinets. Records containing SARs or references to SARs must be stored separately and access must be limited to the MLRO and Deputy MLRO to prevent inadvertent tipping off.</w:t>
      </w:r>
    </w:p>
    <w:p>
      <w:pPr>
        <w:pStyle w:val="Heading1"/>
      </w:pPr>
      <w:r>
        <w:t>10. Training</w:t>
      </w:r>
    </w:p>
    <w:p>
      <w:pPr>
        <w:spacing w:after="120"/>
      </w:pPr>
      <w:r>
        <w:t>The Firm provides AML training to all relevant personnel. Training is mandatory and records of attendance are maintained.</w:t>
      </w:r>
    </w:p>
    <w:p>
      <w:pPr>
        <w:pStyle w:val="Heading2"/>
      </w:pPr>
      <w:r>
        <w:t>10.1 When Training Is Provided</w:t>
      </w:r>
    </w:p>
    <w:p>
      <w:pPr>
        <w:pStyle w:val="ListBullet"/>
        <w:spacing w:after="60"/>
      </w:pPr>
      <w:r>
        <w:t>At induction: all new staff receive AML training before commencing client-facing work.</w:t>
      </w:r>
    </w:p>
    <w:p>
      <w:pPr>
        <w:pStyle w:val="ListBullet"/>
        <w:spacing w:after="60"/>
      </w:pPr>
      <w:r>
        <w:t>Annually: all relevant staff receive refresher training at least once per year.</w:t>
      </w:r>
    </w:p>
    <w:p>
      <w:pPr>
        <w:pStyle w:val="ListBullet"/>
        <w:spacing w:after="60"/>
      </w:pPr>
      <w:r>
        <w:t>Ad hoc: additional training is provided when there are significant changes in legislation, regulations, or the Firm's procedures.</w:t>
      </w:r>
    </w:p>
    <w:p>
      <w:pPr>
        <w:pStyle w:val="Heading2"/>
      </w:pPr>
      <w:r>
        <w:t>10.2 Training Content</w:t>
      </w:r>
    </w:p>
    <w:p>
      <w:pPr>
        <w:spacing w:after="120"/>
      </w:pPr>
      <w:r>
        <w:t>Training covers:</w:t>
      </w:r>
    </w:p>
    <w:p>
      <w:pPr>
        <w:pStyle w:val="ListBullet"/>
        <w:spacing w:after="60"/>
      </w:pPr>
      <w:r>
        <w:t>The principal money laundering offences under POCA and the Terrorism Act 2000.</w:t>
      </w:r>
    </w:p>
    <w:p>
      <w:pPr>
        <w:pStyle w:val="ListBullet"/>
        <w:spacing w:after="60"/>
      </w:pPr>
      <w:r>
        <w:t>The Firm's obligations under the MLR 2017.</w:t>
      </w:r>
    </w:p>
    <w:p>
      <w:pPr>
        <w:pStyle w:val="ListBullet"/>
        <w:spacing w:after="60"/>
      </w:pPr>
      <w:r>
        <w:t>How to identify suspicious activity, including red flags and typologies relevant to the property sector.</w:t>
      </w:r>
    </w:p>
    <w:p>
      <w:pPr>
        <w:pStyle w:val="ListBullet"/>
        <w:spacing w:after="60"/>
      </w:pPr>
      <w:r>
        <w:t>The Firm's CDD procedures and when to apply EDD.</w:t>
      </w:r>
    </w:p>
    <w:p>
      <w:pPr>
        <w:pStyle w:val="ListBullet"/>
        <w:spacing w:after="60"/>
      </w:pPr>
      <w:r>
        <w:t>How to make an internal report to the MLRO.</w:t>
      </w:r>
    </w:p>
    <w:p>
      <w:pPr>
        <w:pStyle w:val="ListBullet"/>
        <w:spacing w:after="60"/>
      </w:pPr>
      <w:r>
        <w:t>The tipping off offence and its consequences.</w:t>
      </w:r>
    </w:p>
    <w:p>
      <w:pPr>
        <w:pStyle w:val="ListBullet"/>
        <w:spacing w:after="60"/>
      </w:pPr>
      <w:r>
        <w:t>Record keeping requirements.</w:t>
      </w:r>
    </w:p>
    <w:p>
      <w:pPr>
        <w:pStyle w:val="Heading2"/>
      </w:pPr>
      <w:r>
        <w:t>10.3 Records of Training</w:t>
      </w:r>
    </w:p>
    <w:p>
      <w:pPr>
        <w:spacing w:after="120"/>
      </w:pPr>
      <w:r>
        <w:t>The MLRO maintains records of all AML training provided, including the date, content, and attendees. These records are retained for 5 years and are available for inspection by RICS.</w:t>
      </w:r>
    </w:p>
    <w:p>
      <w:pPr>
        <w:pStyle w:val="Heading1"/>
      </w:pPr>
      <w:r>
        <w:t>11. Sanctions Screening</w:t>
      </w:r>
    </w:p>
    <w:p>
      <w:pPr>
        <w:spacing w:after="120"/>
      </w:pPr>
      <w:r>
        <w:t>The Firm must screen all clients and beneficial owners against the HM Treasury Office of Financial Sanctions Implementation (OFSI) consolidated sanctions list. Sanctions screening must be conducted:</w:t>
      </w:r>
    </w:p>
    <w:p>
      <w:pPr>
        <w:pStyle w:val="ListBullet"/>
        <w:spacing w:after="60"/>
      </w:pPr>
      <w:r>
        <w:t>At the outset of a new business relationship (as part of CDD).</w:t>
      </w:r>
    </w:p>
    <w:p>
      <w:pPr>
        <w:pStyle w:val="ListBullet"/>
        <w:spacing w:after="60"/>
      </w:pPr>
      <w:r>
        <w:t>Periodically during an ongoing business relationship.</w:t>
      </w:r>
    </w:p>
    <w:p>
      <w:pPr>
        <w:pStyle w:val="ListBullet"/>
        <w:spacing w:after="60"/>
      </w:pPr>
      <w:r>
        <w:t>When the OFSI consolidated list is updated (the MLRO monitors updates).</w:t>
      </w:r>
    </w:p>
    <w:p>
      <w:pPr>
        <w:spacing w:after="120"/>
      </w:pPr>
      <w:r>
        <w:t>If a match is identified, the Firm must not proceed with the transaction or business relationship and must report the matter to OFSI immediately. It is a criminal offence to deal with a designated person or to circumvent financial sanctions.</w:t>
      </w:r>
    </w:p>
    <w:p>
      <w:pPr>
        <w:pStyle w:val="Heading1"/>
      </w:pPr>
      <w:r>
        <w:t>12. Consequences of Non-Compliance</w:t>
      </w:r>
    </w:p>
    <w:p>
      <w:pPr>
        <w:spacing w:after="120"/>
      </w:pPr>
      <w:r>
        <w:t>Non-compliance with this policy may result in:</w:t>
      </w:r>
    </w:p>
    <w:p>
      <w:pPr>
        <w:pStyle w:val="ListBullet"/>
        <w:spacing w:after="60"/>
      </w:pPr>
      <w:r>
        <w:t>Criminal prosecution: Money laundering offences under POCA carry a maximum sentence of 14 years' imprisonment and/or an unlimited fine. Failure to disclose carries a maximum of 5 years' imprisonment. Tipping off carries a maximum of 5 years' imprisonment.</w:t>
      </w:r>
    </w:p>
    <w:p>
      <w:pPr>
        <w:pStyle w:val="ListBullet"/>
        <w:spacing w:after="60"/>
      </w:pPr>
      <w:r>
        <w:t>RICS disciplinary proceedings, which may result in fines, conditions, suspension, or expulsion.</w:t>
      </w:r>
    </w:p>
    <w:p>
      <w:pPr>
        <w:pStyle w:val="ListBullet"/>
        <w:spacing w:after="60"/>
      </w:pPr>
      <w:r>
        <w:t>Internal disciplinary action, up to and including dismissal for gross misconduct.</w:t>
      </w:r>
    </w:p>
    <w:p>
      <w:pPr>
        <w:pStyle w:val="ListBullet"/>
        <w:spacing w:after="60"/>
      </w:pPr>
      <w:r>
        <w:t>Civil penalties imposed by OFSI for sanctions breaches.</w:t>
      </w:r>
    </w:p>
    <w:p>
      <w:pPr>
        <w:pStyle w:val="ListBullet"/>
        <w:spacing w:after="60"/>
      </w:pPr>
      <w:r>
        <w:t>Reputational damage to the Firm and to the individuals involved.</w:t>
      </w:r>
    </w:p>
    <w:p>
      <w:pPr>
        <w:spacing w:after="120"/>
      </w:pPr>
      <w:r>
        <w:t>The Firm will not tolerate any failure to comply with AML obligations. All staff have a personal responsibility to comply with this policy and the law.</w:t>
      </w:r>
    </w:p>
    <w:p>
      <w:r>
        <w:br w:type="page"/>
      </w:r>
    </w:p>
    <w:p>
      <w:pPr>
        <w:pStyle w:val="Heading1"/>
      </w:pPr>
      <w:r>
        <w:t>Document Control</w:t>
      </w:r>
    </w:p>
    <w:p>
      <w:pPr>
        <w:spacing w:after="120"/>
      </w:pPr>
      <w:r>
        <w:t>This document is subject to the following version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left"/>
            </w:pPr>
            <w:r>
              <w:rPr>
                <w:rFonts w:ascii="Calibri" w:hAnsi="Calibri"/>
                <w:b/>
                <w:color w:val="FFFFFF"/>
                <w:sz w:val="20"/>
              </w:rPr>
              <w:t>Version</w:t>
            </w:r>
          </w:p>
        </w:tc>
        <w:tc>
          <w:tcPr>
            <w:tcW w:type="dxa" w:w="1701"/>
            <w:shd w:fill="1E40AF"/>
          </w:tcPr>
          <w:p>
            <w:pPr>
              <w:jc w:val="left"/>
            </w:pPr>
            <w:r>
              <w:rPr>
                <w:rFonts w:ascii="Calibri" w:hAnsi="Calibri"/>
                <w:b/>
                <w:color w:val="FFFFFF"/>
                <w:sz w:val="20"/>
              </w:rPr>
              <w:t>Date</w:t>
            </w:r>
          </w:p>
        </w:tc>
        <w:tc>
          <w:tcPr>
            <w:tcW w:type="dxa" w:w="2835"/>
            <w:shd w:fill="1E40AF"/>
          </w:tcPr>
          <w:p>
            <w:pPr>
              <w:jc w:val="left"/>
            </w:pPr>
            <w:r>
              <w:rPr>
                <w:rFonts w:ascii="Calibri" w:hAnsi="Calibri"/>
                <w:b/>
                <w:color w:val="FFFFFF"/>
                <w:sz w:val="20"/>
              </w:rPr>
              <w:t>Author</w:t>
            </w:r>
          </w:p>
        </w:tc>
        <w:tc>
          <w:tcPr>
            <w:tcW w:type="dxa" w:w="3402"/>
            <w:shd w:fill="1E40AF"/>
          </w:tcPr>
          <w:p>
            <w:pPr>
              <w:jc w:val="left"/>
            </w:pPr>
            <w:r>
              <w:rPr>
                <w:rFonts w:ascii="Calibri" w:hAnsi="Calibri"/>
                <w:b/>
                <w:color w:val="FFFFFF"/>
                <w:sz w:val="20"/>
              </w:rPr>
              <w:t>Description</w:t>
            </w:r>
          </w:p>
        </w:tc>
      </w:tr>
      <w:tr>
        <w:tc>
          <w:tcPr>
            <w:tcW w:type="dxa" w:w="1134"/>
          </w:tcPr>
          <w:p>
            <w:r>
              <w:rPr>
                <w:rFonts w:ascii="Calibri" w:hAnsi="Calibri"/>
                <w:color w:val="333333"/>
                <w:sz w:val="20"/>
              </w:rPr>
              <w:t>1.0</w:t>
            </w:r>
          </w:p>
        </w:tc>
        <w:tc>
          <w:tcPr>
            <w:tcW w:type="dxa" w:w="1701"/>
          </w:tcPr>
          <w:p>
            <w:r>
              <w:rPr>
                <w:rFonts w:ascii="Calibri" w:hAnsi="Calibri"/>
                <w:color w:val="333333"/>
                <w:sz w:val="20"/>
              </w:rPr>
              <w:t>February 2026</w:t>
            </w:r>
          </w:p>
        </w:tc>
        <w:tc>
          <w:tcPr>
            <w:tcW w:type="dxa" w:w="2835"/>
          </w:tcPr>
          <w:p>
            <w:r>
              <w:rPr>
                <w:rFonts w:ascii="Calibri" w:hAnsi="Calibri"/>
                <w:color w:val="333333"/>
                <w:sz w:val="20"/>
              </w:rPr>
              <w:t>Matt Fitzgerald MRICS</w:t>
            </w:r>
          </w:p>
        </w:tc>
        <w:tc>
          <w:tcPr>
            <w:tcW w:type="dxa" w:w="3402"/>
          </w:tcPr>
          <w:p>
            <w:r>
              <w:rPr>
                <w:rFonts w:ascii="Calibri" w:hAnsi="Calibri"/>
                <w:color w:val="333333"/>
                <w:sz w:val="20"/>
              </w:rPr>
              <w:t>Initial issue</w:t>
            </w:r>
          </w:p>
        </w:tc>
      </w:tr>
    </w:tbl>
    <w:p/>
    <w:p>
      <w:pPr>
        <w:pStyle w:val="Heading2"/>
      </w:pPr>
      <w:r>
        <w:t>Approval</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E40AF"/>
          </w:tcPr>
          <w:p>
            <w:pPr>
              <w:jc w:val="left"/>
            </w:pPr>
            <w:r>
              <w:rPr>
                <w:rFonts w:ascii="Calibri" w:hAnsi="Calibri"/>
                <w:b/>
                <w:color w:val="FFFFFF"/>
                <w:sz w:val="20"/>
              </w:rPr>
              <w:t>Name</w:t>
            </w:r>
          </w:p>
        </w:tc>
        <w:tc>
          <w:tcPr>
            <w:tcW w:type="dxa" w:w="2835"/>
            <w:shd w:fill="1E40AF"/>
          </w:tcPr>
          <w:p>
            <w:pPr>
              <w:jc w:val="left"/>
            </w:pPr>
            <w:r>
              <w:rPr>
                <w:rFonts w:ascii="Calibri" w:hAnsi="Calibri"/>
                <w:b/>
                <w:color w:val="FFFFFF"/>
                <w:sz w:val="20"/>
              </w:rPr>
              <w:t>Role</w:t>
            </w:r>
          </w:p>
        </w:tc>
        <w:tc>
          <w:tcPr>
            <w:tcW w:type="dxa" w:w="2268"/>
            <w:shd w:fill="1E40AF"/>
          </w:tcPr>
          <w:p>
            <w:pPr>
              <w:jc w:val="left"/>
            </w:pPr>
            <w:r>
              <w:rPr>
                <w:rFonts w:ascii="Calibri" w:hAnsi="Calibri"/>
                <w:b/>
                <w:color w:val="FFFFFF"/>
                <w:sz w:val="20"/>
              </w:rPr>
              <w:t>Date</w:t>
            </w:r>
          </w:p>
        </w:tc>
      </w:tr>
      <w:tr>
        <w:tc>
          <w:tcPr>
            <w:tcW w:type="dxa" w:w="2835"/>
          </w:tcPr>
          <w:p>
            <w:r>
              <w:rPr>
                <w:rFonts w:ascii="Calibri" w:hAnsi="Calibri"/>
                <w:color w:val="333333"/>
                <w:sz w:val="20"/>
              </w:rPr>
              <w:t>Matt Fitzgerald MRICS</w:t>
            </w:r>
          </w:p>
        </w:tc>
        <w:tc>
          <w:tcPr>
            <w:tcW w:type="dxa" w:w="2835"/>
          </w:tcPr>
          <w:p>
            <w:r>
              <w:rPr>
                <w:rFonts w:ascii="Calibri" w:hAnsi="Calibri"/>
                <w:color w:val="333333"/>
                <w:sz w:val="20"/>
              </w:rPr>
              <w:t>Managing Director</w:t>
            </w:r>
          </w:p>
        </w:tc>
        <w:tc>
          <w:tcPr>
            <w:tcW w:type="dxa" w:w="2268"/>
          </w:tcPr>
          <w:p>
            <w:r>
              <w:rPr>
                <w:rFonts w:ascii="Calibri" w:hAnsi="Calibri"/>
                <w:color w:val="333333"/>
                <w:sz w:val="20"/>
              </w:rPr>
              <w:t>February 2026</w:t>
            </w:r>
          </w:p>
        </w:tc>
      </w:tr>
      <w:tr>
        <w:tc>
          <w:tcPr>
            <w:tcW w:type="dxa" w:w="2835"/>
          </w:tcPr>
          <w:p>
            <w:r>
              <w:rPr>
                <w:rFonts w:ascii="Calibri" w:hAnsi="Calibri"/>
                <w:color w:val="333333"/>
                <w:sz w:val="20"/>
              </w:rPr>
              <w:t>Jamie Smyth MRICS</w:t>
            </w:r>
          </w:p>
        </w:tc>
        <w:tc>
          <w:tcPr>
            <w:tcW w:type="dxa" w:w="2835"/>
          </w:tcPr>
          <w:p>
            <w:r>
              <w:rPr>
                <w:rFonts w:ascii="Calibri" w:hAnsi="Calibri"/>
                <w:color w:val="333333"/>
                <w:sz w:val="20"/>
              </w:rPr>
              <w:t>Director</w:t>
            </w:r>
          </w:p>
        </w:tc>
        <w:tc>
          <w:tcPr>
            <w:tcW w:type="dxa" w:w="2268"/>
          </w:tcPr>
          <w:p>
            <w:r>
              <w:rPr>
                <w:rFonts w:ascii="Calibri" w:hAnsi="Calibri"/>
                <w:color w:val="333333"/>
                <w:sz w:val="20"/>
              </w:rPr>
              <w:t>February 2026</w:t>
            </w:r>
          </w:p>
        </w:tc>
      </w:tr>
    </w:tbl>
    <w:p/>
    <w:p>
      <w:pPr>
        <w:pStyle w:val="Heading2"/>
      </w:pPr>
      <w:r>
        <w:t>Review Schedule</w:t>
      </w:r>
    </w:p>
    <w:p>
      <w:pPr>
        <w:spacing w:after="120"/>
      </w:pPr>
      <w:r>
        <w:t>This policy shall be reviewed at least annually, or sooner if there are relevant changes in legislation, regulation, or business operations.</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Next Review Date</w:t>
            </w:r>
          </w:p>
        </w:tc>
        <w:tc>
          <w:tcPr>
            <w:tcW w:type="dxa" w:w="4535"/>
            <w:shd w:fill="1E40AF"/>
          </w:tcPr>
          <w:p>
            <w:pPr>
              <w:jc w:val="left"/>
            </w:pPr>
            <w:r>
              <w:rPr>
                <w:rFonts w:ascii="Calibri" w:hAnsi="Calibri"/>
                <w:b/>
                <w:color w:val="FFFFFF"/>
                <w:sz w:val="20"/>
              </w:rPr>
              <w:t>Review Owner</w:t>
            </w:r>
          </w:p>
        </w:tc>
      </w:tr>
      <w:tr>
        <w:tc>
          <w:tcPr>
            <w:tcW w:type="dxa" w:w="2835"/>
          </w:tcPr>
          <w:p>
            <w:r>
              <w:rPr>
                <w:rFonts w:ascii="Calibri" w:hAnsi="Calibri"/>
                <w:color w:val="333333"/>
                <w:sz w:val="20"/>
              </w:rPr>
              <w:t>February 2027</w:t>
            </w:r>
          </w:p>
        </w:tc>
        <w:tc>
          <w:tcPr>
            <w:tcW w:type="dxa" w:w="4535"/>
          </w:tcPr>
          <w:p>
            <w:r>
              <w:rPr>
                <w:rFonts w:ascii="Calibri" w:hAnsi="Calibri"/>
                <w:color w:val="333333"/>
                <w:sz w:val="20"/>
              </w:rPr>
              <w:t>Matt Fitzgerald MRICS</w:t>
            </w:r>
          </w:p>
        </w:tc>
      </w:tr>
    </w:tbl>
    <w:p/>
    <w:p>
      <w:pPr>
        <w:pStyle w:val="Heading2"/>
      </w:pPr>
      <w:r>
        <w:t>Distribution</w:t>
      </w:r>
    </w:p>
    <w:p>
      <w:pPr>
        <w:spacing w:after="120"/>
      </w:pPr>
      <w:r>
        <w:t>This policy is distributed to all directors, employees, and consultants of Hillway Holdings Ltd (trading as Hillway). A copy is retained on the firm's shared drive and is available on request.</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