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Anti-Bribery and</w:t>
        <w:br/>
        <w:t>Corruption Policy</w:t>
      </w:r>
    </w:p>
    <w:p>
      <w:pPr>
        <w:jc w:val="center"/>
      </w:pPr>
      <w:r>
        <w:rPr>
          <w:rFonts w:ascii="Calibri" w:hAnsi="Calibri"/>
          <w:color w:val="64748B"/>
          <w:sz w:val="28"/>
        </w:rPr>
        <w:t>Hillway Holdings Ltd</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Hillway Holdings Ltd's ("the Company") commitment to conducting business ethically, transparently and in compliance with the Bribery Act 2010 and all applicable anti-corruption laws.</w:t>
      </w:r>
    </w:p>
    <w:p>
      <w:pPr>
        <w:spacing w:after="120"/>
      </w:pPr>
      <w:r>
        <w:t>This policy applies to all employees, officers, directors, contractors, consultants, agents, and any other person who performs services for or on behalf of the Company. It applies to all business dealings, in all countries, regardless of local customs, competitive pressures or business practices.</w:t>
      </w:r>
    </w:p>
    <w:p>
      <w:pPr>
        <w:spacing w:after="120"/>
      </w:pPr>
      <w:r>
        <w:t>As a RICS-regulated firm, the Company is also bound by the RICS Professional Statement on Countering Bribery, Corruption and Money Laundering, which imposes additional professional obligations on the firm and its members.</w:t>
      </w:r>
    </w:p>
    <w:p>
      <w:pPr>
        <w:pStyle w:val="Heading1"/>
      </w:pPr>
      <w:r>
        <w:t>2. Legal Framework</w:t>
      </w:r>
    </w:p>
    <w:p>
      <w:pPr>
        <w:spacing w:after="120"/>
      </w:pPr>
      <w:r>
        <w:t>The Bribery Act 2010 creates four principal offences:</w:t>
      </w:r>
    </w:p>
    <w:p>
      <w:pPr>
        <w:pStyle w:val="Heading2"/>
      </w:pPr>
      <w:r>
        <w:t>2.1 Section 1 — Active Bribery</w:t>
      </w:r>
    </w:p>
    <w:p>
      <w:pPr>
        <w:spacing w:after="120"/>
      </w:pPr>
      <w:r>
        <w:t>Offering, promising or giving a financial or other advantage to another person, intending to induce or reward improper performance of a relevant function or activity.</w:t>
      </w:r>
    </w:p>
    <w:p>
      <w:pPr>
        <w:pStyle w:val="Heading2"/>
      </w:pPr>
      <w:r>
        <w:t>2.2 Section 2 — Passive Bribery</w:t>
      </w:r>
    </w:p>
    <w:p>
      <w:pPr>
        <w:spacing w:after="120"/>
      </w:pPr>
      <w:r>
        <w:t>Requesting, agreeing to receive or accepting a financial or other advantage, intending that a relevant function or activity should be improperly performed.</w:t>
      </w:r>
    </w:p>
    <w:p>
      <w:pPr>
        <w:pStyle w:val="Heading2"/>
      </w:pPr>
      <w:r>
        <w:t>2.3 Section 6 — Bribery of Foreign Public Officials</w:t>
      </w:r>
    </w:p>
    <w:p>
      <w:pPr>
        <w:spacing w:after="120"/>
      </w:pPr>
      <w:r>
        <w:t>Bribing a foreign public official with the intention of obtaining or retaining business or an advantage in the conduct of business.</w:t>
      </w:r>
    </w:p>
    <w:p>
      <w:pPr>
        <w:pStyle w:val="Heading2"/>
      </w:pPr>
      <w:r>
        <w:t>2.4 Section 7 — Failure to Prevent Bribery</w:t>
      </w:r>
    </w:p>
    <w:p>
      <w:pPr>
        <w:spacing w:after="120"/>
      </w:pPr>
      <w:r>
        <w:t>A commercial organisation commits an offence if a person associated with it bribes another person intending to obtain or retain business or an advantage in the conduct of business for the organisation. The only defence is that the organisation had adequate procedures in place designed to prevent persons associated with it from undertaking such conduct.</w:t>
      </w:r>
    </w:p>
    <w:p>
      <w:pPr>
        <w:spacing w:after="120"/>
      </w:pPr>
      <w:r>
        <w:t>Penalties under the Bribery Act 2010 include unlimited fines for organisations and up to 10 years' imprisonment for individuals.</w:t>
      </w:r>
    </w:p>
    <w:p>
      <w:pPr>
        <w:pStyle w:val="Heading1"/>
      </w:pPr>
      <w:r>
        <w:t>3. Zero Tolerance Statement</w:t>
      </w:r>
    </w:p>
    <w:p>
      <w:pPr>
        <w:spacing w:after="120"/>
      </w:pPr>
      <w:r>
        <w:t>The Company has a zero-tolerance approach to bribery and corruption in all its forms. We are committed to acting professionally, fairly and with integrity in all business dealings and relationships, wherever we operate.</w:t>
      </w:r>
    </w:p>
    <w:p>
      <w:pPr>
        <w:spacing w:after="120"/>
      </w:pPr>
      <w:r>
        <w:t>We will not offer, promise, give, request or accept any bribe, whether in cash or in any other form, to or from any person or organisation, whether a public official or private individual, in order to gain any commercial, contractual, regulatory or personal advantage.</w:t>
      </w:r>
    </w:p>
    <w:p>
      <w:pPr>
        <w:spacing w:after="120"/>
      </w:pPr>
      <w:r>
        <w:t>This commitment applies to all aspects of our business, including property management, professional advisory services, technology product development, procurement, recruitment and all other business activities.</w:t>
      </w:r>
    </w:p>
    <w:p>
      <w:pPr>
        <w:pStyle w:val="Heading1"/>
      </w:pPr>
      <w:r>
        <w:t>4. What Constitutes Bribery</w:t>
      </w:r>
    </w:p>
    <w:p>
      <w:pPr>
        <w:spacing w:after="120"/>
      </w:pPr>
      <w:r>
        <w:t>Bribery is the offering, promising, giving, requesting, agreeing to receive or accepting of a financial or other advantage to induce or reward improper performance. In the property sector, bribery risks may arise in contexts including:</w:t>
      </w:r>
    </w:p>
    <w:p>
      <w:pPr>
        <w:pStyle w:val="ListBullet"/>
        <w:spacing w:after="60"/>
      </w:pPr>
      <w:r>
        <w:t>Payments or gifts to planning officers, building control officers or other public officials to expedite or influence decisions</w:t>
      </w:r>
    </w:p>
    <w:p>
      <w:pPr>
        <w:pStyle w:val="ListBullet"/>
        <w:spacing w:after="60"/>
      </w:pPr>
      <w:r>
        <w:t>Kickbacks from contractors, suppliers or service providers in return for awarding contracts or recommending their services to clients</w:t>
      </w:r>
    </w:p>
    <w:p>
      <w:pPr>
        <w:pStyle w:val="ListBullet"/>
        <w:spacing w:after="60"/>
      </w:pPr>
      <w:r>
        <w:t>Referral fees or commissions paid or received without proper disclosure and client consent</w:t>
      </w:r>
    </w:p>
    <w:p>
      <w:pPr>
        <w:pStyle w:val="ListBullet"/>
        <w:spacing w:after="60"/>
      </w:pPr>
      <w:r>
        <w:t>Excessive hospitality offered to or by parties with whom the Company is negotiating</w:t>
      </w:r>
    </w:p>
    <w:p>
      <w:pPr>
        <w:pStyle w:val="ListBullet"/>
        <w:spacing w:after="60"/>
      </w:pPr>
      <w:r>
        <w:t>Payments to expedite routine government actions (facilitation payments)</w:t>
      </w:r>
    </w:p>
    <w:p>
      <w:pPr>
        <w:pStyle w:val="ListBullet"/>
        <w:spacing w:after="60"/>
      </w:pPr>
      <w:r>
        <w:t>Providing or receiving personal favours (e.g. employment for relatives) in connection with business decisions</w:t>
      </w:r>
    </w:p>
    <w:p>
      <w:pPr>
        <w:pStyle w:val="ListBullet"/>
        <w:spacing w:after="60"/>
      </w:pPr>
      <w:r>
        <w:t>Secret commissions or undisclosed conflicts of interest</w:t>
      </w:r>
    </w:p>
    <w:p>
      <w:pPr>
        <w:pStyle w:val="Heading1"/>
      </w:pPr>
      <w:r>
        <w:t>5. Gifts and Hospitality</w:t>
      </w:r>
    </w:p>
    <w:p>
      <w:pPr>
        <w:spacing w:after="120"/>
      </w:pPr>
      <w:r>
        <w:t>Modest gifts and hospitality are a normal part of business relationships. However, they can also be used as a form of bribery. The following rules apply:</w:t>
      </w:r>
    </w:p>
    <w:p>
      <w:pPr>
        <w:pStyle w:val="Heading2"/>
      </w:pPr>
      <w:r>
        <w:t>5.1 General Principles</w:t>
      </w:r>
    </w:p>
    <w:p>
      <w:pPr>
        <w:pStyle w:val="ListBullet"/>
        <w:spacing w:after="60"/>
      </w:pPr>
      <w:r>
        <w:t>All gifts and hospitality (given or received) with a value of more than £50 must be recorded in the Gifts and Hospitality Register</w:t>
      </w:r>
    </w:p>
    <w:p>
      <w:pPr>
        <w:pStyle w:val="ListBullet"/>
        <w:spacing w:after="60"/>
      </w:pPr>
      <w:r>
        <w:t>Gifts or hospitality with a value of more than £100 (given or received) require prior approval from a Director</w:t>
      </w:r>
    </w:p>
    <w:p>
      <w:pPr>
        <w:pStyle w:val="ListBullet"/>
        <w:spacing w:after="60"/>
      </w:pPr>
      <w:r>
        <w:t>Never accept or offer gifts or hospitality from or to parties with whom the Company is in active negotiations, disputes or tender processes</w:t>
      </w:r>
    </w:p>
    <w:p>
      <w:pPr>
        <w:pStyle w:val="ListBullet"/>
        <w:spacing w:after="60"/>
      </w:pPr>
      <w:r>
        <w:t>Cash gifts are never acceptable, regardless of amount</w:t>
      </w:r>
    </w:p>
    <w:p>
      <w:pPr>
        <w:pStyle w:val="ListBullet"/>
        <w:spacing w:after="60"/>
      </w:pPr>
      <w:r>
        <w:t>Gifts and hospitality must be reasonable, proportionate and given openly — not secretly</w:t>
      </w:r>
    </w:p>
    <w:p>
      <w:pPr>
        <w:pStyle w:val="Heading2"/>
      </w:pPr>
      <w:r>
        <w:t>5.2 Seasonal and Festive Gifts</w:t>
      </w:r>
    </w:p>
    <w:p>
      <w:pPr>
        <w:spacing w:after="120"/>
      </w:pPr>
      <w:r>
        <w:t>Seasonal gifts (e.g. Christmas hampers, bottles of wine) with a value of less than £50 may be accepted without prior approval but should still be recorded in the Register. Gifts exceeding £50 require recording and approval as above.</w:t>
      </w:r>
    </w:p>
    <w:p>
      <w:pPr>
        <w:pStyle w:val="Heading2"/>
      </w:pPr>
      <w:r>
        <w:t>5.3 Hospitality</w:t>
      </w:r>
    </w:p>
    <w:p>
      <w:pPr>
        <w:spacing w:after="120"/>
      </w:pPr>
      <w:r>
        <w:t>Reasonable business hospitality (e.g. a working lunch, attendance at an industry event) is acceptable where it is proportionate, transparent and has a clear business purpose. Lavish or extravagant entertainment that has no genuine business purpose is prohibited.</w:t>
      </w:r>
    </w:p>
    <w:p>
      <w:pPr>
        <w:pStyle w:val="Heading2"/>
      </w:pPr>
      <w:r>
        <w:t>5.4 Gifts and Hospitality Register</w:t>
      </w:r>
    </w:p>
    <w:p>
      <w:pPr>
        <w:spacing w:after="120"/>
      </w:pPr>
      <w:r>
        <w:t>The Company maintains a central Gifts and Hospitality Register. Entries must include: the date, the giver and recipient, the nature of the gift or hospitality, the estimated value, the business context, and whether Director approval was obtained (if required).</w:t>
      </w:r>
    </w:p>
    <w:p>
      <w:pPr>
        <w:pStyle w:val="Heading1"/>
      </w:pPr>
      <w:r>
        <w:t>6. Facilitation Payments</w:t>
      </w:r>
    </w:p>
    <w:p>
      <w:pPr>
        <w:spacing w:after="120"/>
      </w:pPr>
      <w:r>
        <w:t>Facilitation payments are unofficial payments made to public officials to secure or expedite routine governmental actions (such as processing permits, licences or other official documents). Facilitation payments are bribes and are strictly prohibited by this policy and by the Bribery Act 2010, regardless of their size, local custom or competitive pressure.</w:t>
      </w:r>
    </w:p>
    <w:p>
      <w:pPr>
        <w:spacing w:after="120"/>
      </w:pPr>
      <w:r>
        <w:t>If an employee is asked to make a facilitation payment, they must refuse and report the request immediately to a Director.</w:t>
      </w:r>
    </w:p>
    <w:p>
      <w:pPr>
        <w:pStyle w:val="Heading1"/>
      </w:pPr>
      <w:r>
        <w:t>7. Political Contributions</w:t>
      </w:r>
    </w:p>
    <w:p>
      <w:pPr>
        <w:pStyle w:val="ListBullet"/>
        <w:spacing w:after="60"/>
      </w:pPr>
      <w:r>
        <w:t>The Company does not make political donations and no Company funds may be used for political contributions of any kind</w:t>
      </w:r>
    </w:p>
    <w:p>
      <w:pPr>
        <w:pStyle w:val="ListBullet"/>
        <w:spacing w:after="60"/>
      </w:pPr>
      <w:r>
        <w:t>Employees' personal political activities and donations are their own affair, but must not reference the Company or create the impression of Company endorsement</w:t>
      </w:r>
    </w:p>
    <w:p>
      <w:pPr>
        <w:pStyle w:val="ListBullet"/>
        <w:spacing w:after="60"/>
      </w:pPr>
      <w:r>
        <w:t>Employees must not use Company resources (time, email, equipment) for political campaigning</w:t>
      </w:r>
    </w:p>
    <w:p>
      <w:pPr>
        <w:pStyle w:val="Heading1"/>
      </w:pPr>
      <w:r>
        <w:t>8. Charitable Donations and Sponsorship</w:t>
      </w:r>
    </w:p>
    <w:p>
      <w:pPr>
        <w:pStyle w:val="ListBullet"/>
        <w:spacing w:after="60"/>
      </w:pPr>
      <w:r>
        <w:t>Charitable donations and sponsorship by the Company must be transparent, properly recorded and made for genuine charitable purposes</w:t>
      </w:r>
    </w:p>
    <w:p>
      <w:pPr>
        <w:pStyle w:val="ListBullet"/>
        <w:spacing w:after="60"/>
      </w:pPr>
      <w:r>
        <w:t>Director approval is required for any charitable donation or sponsorship commitment exceeding £250</w:t>
      </w:r>
    </w:p>
    <w:p>
      <w:pPr>
        <w:pStyle w:val="ListBullet"/>
        <w:spacing w:after="60"/>
      </w:pPr>
      <w:r>
        <w:t>Charitable donations must not be used as a substitute for, or disguise of, bribery. In particular, donations must not be made at the request of a third party where they may be connected to business decisions.</w:t>
      </w:r>
    </w:p>
    <w:p>
      <w:pPr>
        <w:pStyle w:val="ListBullet"/>
        <w:spacing w:after="60"/>
      </w:pPr>
      <w:r>
        <w:t>Due diligence should be conducted to ensure that the charity or cause is legitimate and that the donation will be used for its stated purpose</w:t>
      </w:r>
    </w:p>
    <w:p>
      <w:pPr>
        <w:pStyle w:val="Heading1"/>
      </w:pPr>
      <w:r>
        <w:t>9. Third-Party Due Diligence</w:t>
      </w:r>
    </w:p>
    <w:p>
      <w:pPr>
        <w:spacing w:after="120"/>
      </w:pPr>
      <w:r>
        <w:t>The Company may be held liable for the acts of persons associated with it, including agents, consultants, contractors and other intermediaries. Proportionate due diligence must therefore be conducted on all third parties acting on the Company's behalf:</w:t>
      </w:r>
    </w:p>
    <w:p>
      <w:pPr>
        <w:pStyle w:val="ListBullet"/>
        <w:spacing w:after="60"/>
      </w:pPr>
      <w:r>
        <w:t>Assess the bribery risk associated with the engagement (considering the country, sector, nature of the relationship and value)</w:t>
      </w:r>
    </w:p>
    <w:p>
      <w:pPr>
        <w:pStyle w:val="ListBullet"/>
        <w:spacing w:after="60"/>
      </w:pPr>
      <w:r>
        <w:t>For higher-risk engagements, conduct enhanced due diligence including background checks and references</w:t>
      </w:r>
    </w:p>
    <w:p>
      <w:pPr>
        <w:pStyle w:val="ListBullet"/>
        <w:spacing w:after="60"/>
      </w:pPr>
      <w:r>
        <w:t>Written agreements with agents, consultants and other intermediaries must include anti-bribery provisions, including the right to terminate for breach</w:t>
      </w:r>
    </w:p>
    <w:p>
      <w:pPr>
        <w:pStyle w:val="ListBullet"/>
        <w:spacing w:after="60"/>
      </w:pPr>
      <w:r>
        <w:t>The Company reserves the right to audit third parties' compliance with anti-bribery provisions</w:t>
      </w:r>
    </w:p>
    <w:p>
      <w:pPr>
        <w:pStyle w:val="ListBullet"/>
        <w:spacing w:after="60"/>
      </w:pPr>
      <w:r>
        <w:t>Third-party relationships should be reviewed periodically and on renewal</w:t>
      </w:r>
    </w:p>
    <w:p>
      <w:pPr>
        <w:pStyle w:val="Heading1"/>
      </w:pPr>
      <w:r>
        <w:t>10. Record Keeping</w:t>
      </w:r>
    </w:p>
    <w:p>
      <w:pPr>
        <w:spacing w:after="120"/>
      </w:pPr>
      <w:r>
        <w:t>Accurate and complete records are essential for demonstrating compliance with anti-bribery obligations. The following record-keeping requirements apply:</w:t>
      </w:r>
    </w:p>
    <w:p>
      <w:pPr>
        <w:pStyle w:val="ListBullet"/>
        <w:spacing w:after="60"/>
      </w:pPr>
      <w:r>
        <w:t>Gifts and Hospitality Register maintained and reviewed by a Director quarterly</w:t>
      </w:r>
    </w:p>
    <w:p>
      <w:pPr>
        <w:pStyle w:val="ListBullet"/>
        <w:spacing w:after="60"/>
      </w:pPr>
      <w:r>
        <w:t>All payments to third parties fully documented with a clear business rationale</w:t>
      </w:r>
    </w:p>
    <w:p>
      <w:pPr>
        <w:pStyle w:val="ListBullet"/>
        <w:spacing w:after="60"/>
      </w:pPr>
      <w:r>
        <w:t>Accurate financial records maintained, with no off-books accounts, secret funds or unrecorded transactions</w:t>
      </w:r>
    </w:p>
    <w:p>
      <w:pPr>
        <w:pStyle w:val="ListBullet"/>
        <w:spacing w:after="60"/>
      </w:pPr>
      <w:r>
        <w:t>All expense claims must be supported by receipts and approved in accordance with the Company's expenses procedure</w:t>
      </w:r>
    </w:p>
    <w:p>
      <w:pPr>
        <w:pStyle w:val="ListBullet"/>
        <w:spacing w:after="60"/>
      </w:pPr>
      <w:r>
        <w:t>Records must be retained for a minimum of 6 years</w:t>
      </w:r>
    </w:p>
    <w:p>
      <w:pPr>
        <w:pStyle w:val="Heading1"/>
      </w:pPr>
      <w:r>
        <w:t>11. Reporting Concerns</w:t>
      </w:r>
    </w:p>
    <w:p>
      <w:pPr>
        <w:spacing w:after="120"/>
      </w:pPr>
      <w:r>
        <w:t>The Company encourages all employees and associated persons to report any concerns about actual or suspected bribery or corruption. Reports can be made to:</w:t>
      </w:r>
    </w:p>
    <w:p>
      <w:pPr>
        <w:pStyle w:val="ListBullet"/>
        <w:spacing w:after="60"/>
      </w:pPr>
      <w:r>
        <w:t>Matt Fitzgerald MRICS, Managing Director</w:t>
      </w:r>
    </w:p>
    <w:p>
      <w:pPr>
        <w:pStyle w:val="ListBullet"/>
        <w:spacing w:after="60"/>
      </w:pPr>
      <w:r>
        <w:t>Jamie Smyth MRICS, Director</w:t>
      </w:r>
    </w:p>
    <w:p>
      <w:pPr>
        <w:spacing w:after="120"/>
      </w:pPr>
      <w:r>
        <w:t>Reports will be treated in confidence to the extent possible. The Company will not tolerate any form of retaliation against a person who reports a concern in good faith.</w:t>
      </w:r>
    </w:p>
    <w:p>
      <w:pPr>
        <w:spacing w:after="120"/>
      </w:pPr>
      <w:r>
        <w:t>Whistleblowing protection applies to persons who report concerns about bribery and corruption in accordance with the Employment Rights Act 1996, Part IVA. A worker who makes a qualifying disclosure (a "protected disclosure") has the right not to be subjected to any detriment or dismissal on the grounds of having made the disclosure.</w:t>
      </w:r>
    </w:p>
    <w:p>
      <w:pPr>
        <w:pStyle w:val="Heading1"/>
      </w:pPr>
      <w:r>
        <w:t>12. Training</w:t>
      </w:r>
    </w:p>
    <w:p>
      <w:pPr>
        <w:pStyle w:val="ListBullet"/>
        <w:spacing w:after="60"/>
      </w:pPr>
      <w:r>
        <w:t>All employees will receive anti-bribery training during induction</w:t>
      </w:r>
    </w:p>
    <w:p>
      <w:pPr>
        <w:pStyle w:val="ListBullet"/>
        <w:spacing w:after="60"/>
      </w:pPr>
      <w:r>
        <w:t>Refresher training will be provided annually</w:t>
      </w:r>
    </w:p>
    <w:p>
      <w:pPr>
        <w:pStyle w:val="ListBullet"/>
        <w:spacing w:after="60"/>
      </w:pPr>
      <w:r>
        <w:t>Additional training will be provided where an employee's role involves particular bribery risks (e.g. procurement, contract management, dealing with public officials)</w:t>
      </w:r>
    </w:p>
    <w:p>
      <w:pPr>
        <w:pStyle w:val="ListBullet"/>
        <w:spacing w:after="60"/>
      </w:pPr>
      <w:r>
        <w:t>Training records will be maintained as evidence of the Company's adequate procedures</w:t>
      </w:r>
    </w:p>
    <w:p>
      <w:pPr>
        <w:pStyle w:val="Heading1"/>
      </w:pPr>
      <w:r>
        <w:t>13. Consequences of Breach</w:t>
      </w:r>
    </w:p>
    <w:p>
      <w:pPr>
        <w:spacing w:after="120"/>
      </w:pPr>
      <w:r>
        <w:t>Any breach of this policy will be treated as a serious disciplinary matter and may constitute gross misconduct, resulting in summary dismissal without notice. The Company will also:</w:t>
      </w:r>
    </w:p>
    <w:p>
      <w:pPr>
        <w:pStyle w:val="ListBullet"/>
        <w:spacing w:after="60"/>
      </w:pPr>
      <w:r>
        <w:t>Report suspected criminal conduct to the relevant law enforcement authorities</w:t>
      </w:r>
    </w:p>
    <w:p>
      <w:pPr>
        <w:pStyle w:val="ListBullet"/>
        <w:spacing w:after="60"/>
      </w:pPr>
      <w:r>
        <w:t>Report breaches to RICS where they involve members of the profession</w:t>
      </w:r>
    </w:p>
    <w:p>
      <w:pPr>
        <w:pStyle w:val="ListBullet"/>
        <w:spacing w:after="60"/>
      </w:pPr>
      <w:r>
        <w:t>Pursue recovery of any financial loss suffered as a result of the breach</w:t>
      </w:r>
    </w:p>
    <w:p>
      <w:pPr>
        <w:pStyle w:val="ListBullet"/>
        <w:spacing w:after="60"/>
      </w:pPr>
      <w:r>
        <w:t>Terminate relationships with third parties involved in bribery</w:t>
      </w:r>
    </w:p>
    <w:p>
      <w:pPr>
        <w:spacing w:after="120"/>
      </w:pPr>
      <w:r>
        <w:t>Individuals convicted of bribery offences face up to 10 years' imprisonment and/or unlimited fines.</w:t>
      </w:r>
    </w:p>
    <w:p>
      <w:pPr>
        <w:pStyle w:val="Heading1"/>
      </w:pPr>
      <w:r>
        <w:t>14. Document Control</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Field</w:t>
            </w:r>
          </w:p>
        </w:tc>
        <w:tc>
          <w:tcPr>
            <w:tcW w:type="dxa" w:w="6803"/>
            <w:shd w:fill="1E40AF"/>
          </w:tcPr>
          <w:p>
            <w:pPr>
              <w:jc w:val="left"/>
            </w:pPr>
            <w:r>
              <w:rPr>
                <w:rFonts w:ascii="Calibri" w:hAnsi="Calibri"/>
                <w:b/>
                <w:color w:val="FFFFFF"/>
                <w:sz w:val="20"/>
              </w:rPr>
              <w:t>Detail</w:t>
            </w:r>
          </w:p>
        </w:tc>
      </w:tr>
      <w:tr>
        <w:tc>
          <w:tcPr>
            <w:tcW w:type="dxa" w:w="2835"/>
          </w:tcPr>
          <w:p>
            <w:r>
              <w:rPr>
                <w:rFonts w:ascii="Calibri" w:hAnsi="Calibri"/>
                <w:color w:val="333333"/>
                <w:sz w:val="20"/>
              </w:rPr>
              <w:t>Document Title</w:t>
            </w:r>
          </w:p>
        </w:tc>
        <w:tc>
          <w:tcPr>
            <w:tcW w:type="dxa" w:w="6803"/>
          </w:tcPr>
          <w:p>
            <w:r>
              <w:rPr>
                <w:rFonts w:ascii="Calibri" w:hAnsi="Calibri"/>
                <w:color w:val="333333"/>
                <w:sz w:val="20"/>
              </w:rPr>
              <w:t>Anti-Bribery and Corruption Policy</w:t>
            </w:r>
          </w:p>
        </w:tc>
      </w:tr>
      <w:tr>
        <w:tc>
          <w:tcPr>
            <w:tcW w:type="dxa" w:w="2835"/>
          </w:tcPr>
          <w:p>
            <w:r>
              <w:rPr>
                <w:rFonts w:ascii="Calibri" w:hAnsi="Calibri"/>
                <w:color w:val="333333"/>
                <w:sz w:val="20"/>
              </w:rPr>
              <w:t>Version</w:t>
            </w:r>
          </w:p>
        </w:tc>
        <w:tc>
          <w:tcPr>
            <w:tcW w:type="dxa" w:w="6803"/>
          </w:tcPr>
          <w:p>
            <w:r>
              <w:rPr>
                <w:rFonts w:ascii="Calibri" w:hAnsi="Calibri"/>
                <w:color w:val="333333"/>
                <w:sz w:val="20"/>
              </w:rPr>
              <w:t>1.0</w:t>
            </w:r>
          </w:p>
        </w:tc>
      </w:tr>
      <w:tr>
        <w:tc>
          <w:tcPr>
            <w:tcW w:type="dxa" w:w="2835"/>
          </w:tcPr>
          <w:p>
            <w:r>
              <w:rPr>
                <w:rFonts w:ascii="Calibri" w:hAnsi="Calibri"/>
                <w:color w:val="333333"/>
                <w:sz w:val="20"/>
              </w:rPr>
              <w:t>Effective Date</w:t>
            </w:r>
          </w:p>
        </w:tc>
        <w:tc>
          <w:tcPr>
            <w:tcW w:type="dxa" w:w="6803"/>
          </w:tcPr>
          <w:p>
            <w:r>
              <w:rPr>
                <w:rFonts w:ascii="Calibri" w:hAnsi="Calibri"/>
                <w:color w:val="333333"/>
                <w:sz w:val="20"/>
              </w:rPr>
              <w:t>February 2026</w:t>
            </w:r>
          </w:p>
        </w:tc>
      </w:tr>
      <w:tr>
        <w:tc>
          <w:tcPr>
            <w:tcW w:type="dxa" w:w="2835"/>
          </w:tcPr>
          <w:p>
            <w:r>
              <w:rPr>
                <w:rFonts w:ascii="Calibri" w:hAnsi="Calibri"/>
                <w:color w:val="333333"/>
                <w:sz w:val="20"/>
              </w:rPr>
              <w:t>Next Review Date</w:t>
            </w:r>
          </w:p>
        </w:tc>
        <w:tc>
          <w:tcPr>
            <w:tcW w:type="dxa" w:w="6803"/>
          </w:tcPr>
          <w:p>
            <w:r>
              <w:rPr>
                <w:rFonts w:ascii="Calibri" w:hAnsi="Calibri"/>
                <w:color w:val="333333"/>
                <w:sz w:val="20"/>
              </w:rPr>
              <w:t>February 2027</w:t>
            </w:r>
          </w:p>
        </w:tc>
      </w:tr>
      <w:tr>
        <w:tc>
          <w:tcPr>
            <w:tcW w:type="dxa" w:w="2835"/>
          </w:tcPr>
          <w:p>
            <w:r>
              <w:rPr>
                <w:rFonts w:ascii="Calibri" w:hAnsi="Calibri"/>
                <w:color w:val="333333"/>
                <w:sz w:val="20"/>
              </w:rPr>
              <w:t>Owner</w:t>
            </w:r>
          </w:p>
        </w:tc>
        <w:tc>
          <w:tcPr>
            <w:tcW w:type="dxa" w:w="6803"/>
          </w:tcPr>
          <w:p>
            <w:r>
              <w:rPr>
                <w:rFonts w:ascii="Calibri" w:hAnsi="Calibri"/>
                <w:color w:val="333333"/>
                <w:sz w:val="20"/>
              </w:rPr>
              <w:t>Matt Fitzgerald MRICS, Managing Director</w:t>
            </w:r>
          </w:p>
        </w:tc>
      </w:tr>
      <w:tr>
        <w:tc>
          <w:tcPr>
            <w:tcW w:type="dxa" w:w="2835"/>
          </w:tcPr>
          <w:p>
            <w:r>
              <w:rPr>
                <w:rFonts w:ascii="Calibri" w:hAnsi="Calibri"/>
                <w:color w:val="333333"/>
                <w:sz w:val="20"/>
              </w:rPr>
              <w:t>Approved By</w:t>
            </w:r>
          </w:p>
        </w:tc>
        <w:tc>
          <w:tcPr>
            <w:tcW w:type="dxa" w:w="6803"/>
          </w:tcPr>
          <w:p>
            <w:r>
              <w:rPr>
                <w:rFonts w:ascii="Calibri" w:hAnsi="Calibri"/>
                <w:color w:val="333333"/>
                <w:sz w:val="20"/>
              </w:rPr>
              <w:t>Matt Fitzgerald MRICS / Jamie Smyth MRICS</w:t>
            </w:r>
          </w:p>
        </w:tc>
      </w:tr>
      <w:tr>
        <w:tc>
          <w:tcPr>
            <w:tcW w:type="dxa" w:w="2835"/>
          </w:tcPr>
          <w:p>
            <w:r>
              <w:rPr>
                <w:rFonts w:ascii="Calibri" w:hAnsi="Calibri"/>
                <w:color w:val="333333"/>
                <w:sz w:val="20"/>
              </w:rPr>
              <w:t>Classification</w:t>
            </w:r>
          </w:p>
        </w:tc>
        <w:tc>
          <w:tcPr>
            <w:tcW w:type="dxa" w:w="6803"/>
          </w:tcPr>
          <w:p>
            <w:r>
              <w:rPr>
                <w:rFonts w:ascii="Calibri" w:hAnsi="Calibri"/>
                <w:color w:val="333333"/>
                <w:sz w:val="20"/>
              </w:rPr>
              <w:t>Internal</w:t>
            </w:r>
          </w:p>
        </w:tc>
      </w:tr>
    </w:tbl>
    <w:p/>
    <w:p>
      <w:pPr>
        <w:spacing w:after="120"/>
      </w:pPr>
      <w:r>
        <w:t>Signed:</w:t>
      </w:r>
    </w:p>
    <w:p>
      <w:pPr>
        <w:spacing w:after="120"/>
      </w:pPr>
    </w:p>
    <w:p>
      <w:pPr>
        <w:spacing w:after="120"/>
      </w:pPr>
      <w:r>
        <w:t>____________________________________</w:t>
      </w:r>
    </w:p>
    <w:p>
      <w:pPr>
        <w:spacing w:after="120"/>
      </w:pPr>
      <w:r>
        <w:t>Matt Fitzgerald MRICS</w:t>
      </w:r>
    </w:p>
    <w:p>
      <w:pPr>
        <w:spacing w:after="120"/>
      </w:pPr>
      <w:r>
        <w:t>Managing Director, Hillway Holdings Ltd</w:t>
      </w:r>
    </w:p>
    <w:p>
      <w:pPr>
        <w:spacing w:after="120"/>
      </w:pPr>
      <w:r>
        <w:t>Date: ___________________</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