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Intellectual Property and</w:t>
        <w:br/>
        <w:t>AI Usage Policy</w:t>
      </w:r>
    </w:p>
    <w:p>
      <w:pPr>
        <w:jc w:val="center"/>
      </w:pPr>
      <w:r>
        <w:rPr>
          <w:rFonts w:ascii="Calibri" w:hAnsi="Calibri"/>
          <w:color w:val="64748B"/>
          <w:sz w:val="28"/>
        </w:rPr>
        <w:t>Hillway Holdings Ltd</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Hillway Holdings Ltd's ("the Company") position on the ownership of intellectual property created during the course of employment, and the acceptable use of artificial intelligence (AI) tools in the delivery of professional services.</w:t>
      </w:r>
    </w:p>
    <w:p>
      <w:pPr>
        <w:spacing w:after="120"/>
      </w:pPr>
      <w:r>
        <w:t>This policy applies to all employees, workers, contractors, consultants and agency staff engaged by the Company, regardless of their seniority, role, or location of work. It covers all intellectual property created in connection with Company business and all use of AI tools for professional purposes.</w:t>
      </w:r>
    </w:p>
    <w:p>
      <w:pPr>
        <w:spacing w:after="120"/>
      </w:pPr>
      <w:r>
        <w:t>The Company operates in regulated professional services (RICS-regulated surveying and property consultancy) and develops proprietary technology products. This creates specific obligations around the ownership, protection and responsible use of intellectual property and emerging technologies.</w:t>
      </w:r>
    </w:p>
    <w:p>
      <w:pPr>
        <w:pStyle w:val="Heading1"/>
      </w:pPr>
      <w:r>
        <w:t>2. Intellectual Property Ownership</w:t>
      </w:r>
    </w:p>
    <w:p>
      <w:pPr>
        <w:pStyle w:val="Heading2"/>
      </w:pPr>
      <w:r>
        <w:t>2.1 General Principle</w:t>
      </w:r>
    </w:p>
    <w:p>
      <w:pPr>
        <w:spacing w:after="120"/>
      </w:pPr>
      <w:r>
        <w:t>All intellectual property rights in any work product created by an employee in the course of their employment, or using Company resources, belong to the Company. This is consistent with the Copyright, Designs and Patents Act 1988 ("CDPA 1988") and the Patents Act 1977.</w:t>
      </w:r>
    </w:p>
    <w:p>
      <w:pPr>
        <w:pStyle w:val="Heading2"/>
      </w:pPr>
      <w:r>
        <w:t>2.2 Work Product</w:t>
      </w:r>
    </w:p>
    <w:p>
      <w:pPr>
        <w:spacing w:after="120"/>
      </w:pPr>
      <w:r>
        <w:t>Work product includes, but is not limited to:</w:t>
      </w:r>
    </w:p>
    <w:p>
      <w:pPr>
        <w:pStyle w:val="ListBullet"/>
        <w:spacing w:after="60"/>
      </w:pPr>
      <w:r>
        <w:t>Valuation reports, condition surveys, building surveys and expert reports</w:t>
      </w:r>
    </w:p>
    <w:p>
      <w:pPr>
        <w:pStyle w:val="ListBullet"/>
        <w:spacing w:after="60"/>
      </w:pPr>
      <w:r>
        <w:t>Service charge budgets, accounts and management reports</w:t>
      </w:r>
    </w:p>
    <w:p>
      <w:pPr>
        <w:pStyle w:val="ListBullet"/>
        <w:spacing w:after="60"/>
      </w:pPr>
      <w:r>
        <w:t>Software source code, algorithms, data models and architectures</w:t>
      </w:r>
    </w:p>
    <w:p>
      <w:pPr>
        <w:pStyle w:val="ListBullet"/>
        <w:spacing w:after="60"/>
      </w:pPr>
      <w:r>
        <w:t>User interface designs, wireframes and prototypes</w:t>
      </w:r>
    </w:p>
    <w:p>
      <w:pPr>
        <w:pStyle w:val="ListBullet"/>
        <w:spacing w:after="60"/>
      </w:pPr>
      <w:r>
        <w:t>Databases, datasets and data compilations</w:t>
      </w:r>
    </w:p>
    <w:p>
      <w:pPr>
        <w:pStyle w:val="ListBullet"/>
        <w:spacing w:after="60"/>
      </w:pPr>
      <w:r>
        <w:t>Marketing materials, branding assets and website content</w:t>
      </w:r>
    </w:p>
    <w:p>
      <w:pPr>
        <w:pStyle w:val="ListBullet"/>
        <w:spacing w:after="60"/>
      </w:pPr>
      <w:r>
        <w:t>Methodologies, processes, templates and standard operating procedures</w:t>
      </w:r>
    </w:p>
    <w:p>
      <w:pPr>
        <w:pStyle w:val="ListBullet"/>
        <w:spacing w:after="60"/>
      </w:pPr>
      <w:r>
        <w:t>Training materials and internal documentation</w:t>
      </w:r>
    </w:p>
    <w:p>
      <w:pPr>
        <w:pStyle w:val="ListBullet"/>
        <w:spacing w:after="60"/>
      </w:pPr>
      <w:r>
        <w:t>Client presentations and pitch documents</w:t>
      </w:r>
    </w:p>
    <w:p>
      <w:pPr>
        <w:pStyle w:val="ListBullet"/>
        <w:spacing w:after="60"/>
      </w:pPr>
      <w:r>
        <w:t>Research, analysis and market intelligence outputs</w:t>
      </w:r>
    </w:p>
    <w:p>
      <w:pPr>
        <w:pStyle w:val="Heading2"/>
      </w:pPr>
      <w:r>
        <w:t>2.3 Patents Act 1977 (Sections 39-43)</w:t>
      </w:r>
    </w:p>
    <w:p>
      <w:pPr>
        <w:spacing w:after="120"/>
      </w:pPr>
      <w:r>
        <w:t>Under sections 39-43 of the Patents Act 1977, an invention made by an employee belongs to the employer if it was made in the course of the employee's normal duties, or duties specifically assigned to them, and an invention might reasonably be expected to result from the carrying out of those duties. This applies equally to inventions arising from the employee's special obligation to further the interests of the Company.</w:t>
      </w:r>
    </w:p>
    <w:p>
      <w:pPr>
        <w:spacing w:after="120"/>
      </w:pPr>
      <w:r>
        <w:t>Employees must disclose any inventions or creations that may be patentable or otherwise protectable, promptly and in writing, to a Director of the Company.</w:t>
      </w:r>
    </w:p>
    <w:p>
      <w:pPr>
        <w:pStyle w:val="Heading2"/>
      </w:pPr>
      <w:r>
        <w:t>2.4 Moral Rights</w:t>
      </w:r>
    </w:p>
    <w:p>
      <w:pPr>
        <w:spacing w:after="120"/>
      </w:pPr>
      <w:r>
        <w:t>To the fullest extent permitted by law, employees waive their moral rights under Chapter IV of Part I of the CDPA 1988 in respect of all works created in the course of employment. This includes the right to be identified as the author and the right to object to derogatory treatment of the work.</w:t>
      </w:r>
    </w:p>
    <w:p>
      <w:pPr>
        <w:pStyle w:val="Heading2"/>
      </w:pPr>
      <w:r>
        <w:t>2.5 Further Assurance</w:t>
      </w:r>
    </w:p>
    <w:p>
      <w:pPr>
        <w:spacing w:after="120"/>
      </w:pPr>
      <w:r>
        <w:t>Employees agree to execute all documents and do all things necessary to vest intellectual property rights in the Company, both during and after employment. The Company will bear any costs associated with such registration or transfer.</w:t>
      </w:r>
    </w:p>
    <w:p>
      <w:pPr>
        <w:pStyle w:val="Heading1"/>
      </w:pPr>
      <w:r>
        <w:t>3. PropTech and Software IP</w:t>
      </w:r>
    </w:p>
    <w:p>
      <w:pPr>
        <w:pStyle w:val="Heading2"/>
      </w:pPr>
      <w:r>
        <w:t>3.1 Company Technology Products</w:t>
      </w:r>
    </w:p>
    <w:p>
      <w:pPr>
        <w:spacing w:after="120"/>
      </w:pPr>
      <w:r>
        <w:t>The Company develops proprietary technology products including, but not limited to:</w:t>
      </w:r>
    </w:p>
    <w:p>
      <w:pPr>
        <w:pStyle w:val="ListBullet"/>
        <w:spacing w:after="60"/>
      </w:pPr>
      <w:r>
        <w:t>Steer AI — AI-powered property board and advisory platform for commercial property management</w:t>
      </w:r>
    </w:p>
    <w:p>
      <w:pPr>
        <w:pStyle w:val="ListBullet"/>
        <w:spacing w:after="60"/>
      </w:pPr>
      <w:r>
        <w:t>ServCharge — Service charge management and analysis platform</w:t>
      </w:r>
    </w:p>
    <w:p>
      <w:pPr>
        <w:pStyle w:val="ListBullet"/>
        <w:spacing w:after="60"/>
      </w:pPr>
      <w:r>
        <w:t>Finlo — Xero health monitoring and financial analytics tool</w:t>
      </w:r>
    </w:p>
    <w:p>
      <w:pPr>
        <w:spacing w:after="120"/>
      </w:pPr>
      <w:r>
        <w:t>All source code, algorithms, data models, user interface designs, product documentation, and associated intellectual property for these products are the exclusive property of the Company. This includes all contributions made by employees, whether during normal working hours or otherwise, where those contributions are made using Company resources or relate to Company business.</w:t>
      </w:r>
    </w:p>
    <w:p>
      <w:pPr>
        <w:pStyle w:val="Heading2"/>
      </w:pPr>
      <w:r>
        <w:t>3.2 Open Source Software Usage</w:t>
      </w:r>
    </w:p>
    <w:p>
      <w:pPr>
        <w:spacing w:after="120"/>
      </w:pPr>
      <w:r>
        <w:t>The Company recognises that modern software development relies on open source components. The following guidelines apply:</w:t>
      </w:r>
    </w:p>
    <w:p>
      <w:pPr>
        <w:spacing w:after="120"/>
      </w:pPr>
      <w:r>
        <w:t>Approved licences (may be used without specific approval):</w:t>
      </w:r>
    </w:p>
    <w:p>
      <w:pPr>
        <w:pStyle w:val="ListBullet"/>
        <w:spacing w:after="60"/>
      </w:pPr>
      <w:r>
        <w:t>MIT Licence</w:t>
      </w:r>
    </w:p>
    <w:p>
      <w:pPr>
        <w:pStyle w:val="ListBullet"/>
        <w:spacing w:after="60"/>
      </w:pPr>
      <w:r>
        <w:t>Apache Licence 2.0</w:t>
      </w:r>
    </w:p>
    <w:p>
      <w:pPr>
        <w:pStyle w:val="ListBullet"/>
        <w:spacing w:after="60"/>
      </w:pPr>
      <w:r>
        <w:t>BSD Licences (2-clause and 3-clause)</w:t>
      </w:r>
    </w:p>
    <w:p>
      <w:pPr>
        <w:pStyle w:val="ListBullet"/>
        <w:spacing w:after="60"/>
      </w:pPr>
      <w:r>
        <w:t>ISC Licence</w:t>
      </w:r>
    </w:p>
    <w:p>
      <w:pPr>
        <w:spacing w:after="120"/>
      </w:pPr>
      <w:r>
        <w:t>Licences requiring Director approval before use:</w:t>
      </w:r>
    </w:p>
    <w:p>
      <w:pPr>
        <w:pStyle w:val="ListBullet"/>
        <w:spacing w:after="60"/>
      </w:pPr>
      <w:r>
        <w:t>GNU General Public Licence (GPL) v2 and v3 — copyleft provisions may require disclosure of proprietary code</w:t>
      </w:r>
    </w:p>
    <w:p>
      <w:pPr>
        <w:pStyle w:val="ListBullet"/>
        <w:spacing w:after="60"/>
      </w:pPr>
      <w:r>
        <w:t>GNU Lesser General Public Licence (LGPL)</w:t>
      </w:r>
    </w:p>
    <w:p>
      <w:pPr>
        <w:pStyle w:val="ListBullet"/>
        <w:spacing w:after="60"/>
      </w:pPr>
      <w:r>
        <w:t>Mozilla Public Licence (MPL) 2.0</w:t>
      </w:r>
    </w:p>
    <w:p>
      <w:pPr>
        <w:pStyle w:val="ListBullet"/>
        <w:spacing w:after="60"/>
      </w:pPr>
      <w:r>
        <w:t>Any other copyleft or share-alike licence</w:t>
      </w:r>
    </w:p>
    <w:p>
      <w:pPr>
        <w:spacing w:after="120"/>
      </w:pPr>
      <w:r>
        <w:t>Under no circumstances may copyleft-licensed code be incorporated into proprietary Company products without prior written approval from a Director, having taken appropriate legal advice where necessary.</w:t>
      </w:r>
    </w:p>
    <w:p>
      <w:pPr>
        <w:pStyle w:val="Heading2"/>
      </w:pPr>
      <w:r>
        <w:t>3.3 Code Repositories and Version Control</w:t>
      </w:r>
    </w:p>
    <w:p>
      <w:pPr>
        <w:spacing w:after="120"/>
      </w:pPr>
      <w:r>
        <w:t>All Company code must be stored in Company-controlled repositories (currently GitHub under the Company's organisation). Employees must not store Company code in personal repositories or on personal devices beyond what is necessary for day-to-day development work.</w:t>
      </w:r>
    </w:p>
    <w:p>
      <w:pPr>
        <w:pStyle w:val="Heading1"/>
      </w:pPr>
      <w:r>
        <w:t>4. Use of AI Tools</w:t>
      </w:r>
    </w:p>
    <w:p>
      <w:pPr>
        <w:pStyle w:val="Heading2"/>
      </w:pPr>
      <w:r>
        <w:t>4.1 Approved AI Tools</w:t>
      </w:r>
    </w:p>
    <w:p>
      <w:pPr>
        <w:spacing w:after="120"/>
      </w:pPr>
      <w:r>
        <w:t>The Company approves the use of the following AI tools for professional purposes:</w:t>
      </w:r>
    </w:p>
    <w:p>
      <w:pPr>
        <w:pStyle w:val="ListBullet"/>
        <w:spacing w:after="60"/>
      </w:pPr>
      <w:r>
        <w:t>Claude (Anthropic) — including Claude Code for software development</w:t>
      </w:r>
    </w:p>
    <w:p>
      <w:pPr>
        <w:pStyle w:val="ListBullet"/>
        <w:spacing w:after="60"/>
      </w:pPr>
      <w:r>
        <w:t>ChatGPT (OpenAI) — via business or enterprise accounts where available</w:t>
      </w:r>
    </w:p>
    <w:p>
      <w:pPr>
        <w:pStyle w:val="ListBullet"/>
        <w:spacing w:after="60"/>
      </w:pPr>
      <w:r>
        <w:t>Gemini (Google) — integrated with Google Workspace</w:t>
      </w:r>
    </w:p>
    <w:p>
      <w:pPr>
        <w:pStyle w:val="ListBullet"/>
        <w:spacing w:after="60"/>
      </w:pPr>
      <w:r>
        <w:t>GitHub Copilot — for code assistance within approved development environments</w:t>
      </w:r>
    </w:p>
    <w:p>
      <w:pPr>
        <w:spacing w:after="120"/>
      </w:pPr>
      <w:r>
        <w:t>Other AI tools may be used with prior approval from a Director. Employees should not sign up to new AI services using Company email addresses without approval.</w:t>
      </w:r>
    </w:p>
    <w:p>
      <w:pPr>
        <w:pStyle w:val="Heading2"/>
      </w:pPr>
      <w:r>
        <w:t>4.2 Acceptable Uses</w:t>
      </w:r>
    </w:p>
    <w:p>
      <w:pPr>
        <w:spacing w:after="120"/>
      </w:pPr>
      <w:r>
        <w:t>AI tools may be used for the following purposes:</w:t>
      </w:r>
    </w:p>
    <w:p>
      <w:pPr>
        <w:pStyle w:val="ListBullet"/>
        <w:spacing w:after="60"/>
      </w:pPr>
      <w:r>
        <w:t>Research and information gathering on market trends, comparable evidence and regulatory guidance</w:t>
      </w:r>
    </w:p>
    <w:p>
      <w:pPr>
        <w:pStyle w:val="ListBullet"/>
        <w:spacing w:after="60"/>
      </w:pPr>
      <w:r>
        <w:t>Drafting correspondence, reports and professional documents (subject to review)</w:t>
      </w:r>
    </w:p>
    <w:p>
      <w:pPr>
        <w:pStyle w:val="ListBullet"/>
        <w:spacing w:after="60"/>
      </w:pPr>
      <w:r>
        <w:t>Data analysis, summarisation and pattern identification</w:t>
      </w:r>
    </w:p>
    <w:p>
      <w:pPr>
        <w:pStyle w:val="ListBullet"/>
        <w:spacing w:after="60"/>
      </w:pPr>
      <w:r>
        <w:t>Code assistance, debugging and software development support</w:t>
      </w:r>
    </w:p>
    <w:p>
      <w:pPr>
        <w:pStyle w:val="ListBullet"/>
        <w:spacing w:after="60"/>
      </w:pPr>
      <w:r>
        <w:t>Brainstorming, planning and strategy development</w:t>
      </w:r>
    </w:p>
    <w:p>
      <w:pPr>
        <w:pStyle w:val="ListBullet"/>
        <w:spacing w:after="60"/>
      </w:pPr>
      <w:r>
        <w:t>Translation and language assistance</w:t>
      </w:r>
    </w:p>
    <w:p>
      <w:pPr>
        <w:pStyle w:val="ListBullet"/>
        <w:spacing w:after="60"/>
      </w:pPr>
      <w:r>
        <w:t>Administrative tasks such as meeting summaries and action tracking</w:t>
      </w:r>
    </w:p>
    <w:p>
      <w:pPr>
        <w:pStyle w:val="Heading2"/>
      </w:pPr>
      <w:r>
        <w:t>4.3 Prohibited Uses</w:t>
      </w:r>
    </w:p>
    <w:p>
      <w:pPr>
        <w:spacing w:after="120"/>
      </w:pPr>
      <w:r>
        <w:t>The following uses of AI tools are strictly prohibited:</w:t>
      </w:r>
    </w:p>
    <w:p>
      <w:pPr>
        <w:pStyle w:val="ListBullet"/>
        <w:spacing w:after="60"/>
      </w:pPr>
      <w:r>
        <w:t>Inputting client personally identifiable information (names, addresses, dates of birth, financial details) into AI tools without appropriate safeguards and client consent</w:t>
      </w:r>
    </w:p>
    <w:p>
      <w:pPr>
        <w:pStyle w:val="ListBullet"/>
        <w:spacing w:after="60"/>
      </w:pPr>
      <w:r>
        <w:t>Inputting confidential lease terms, heads of terms, valuations or acquisition/disposal strategies into AI tools without anonymisation</w:t>
      </w:r>
    </w:p>
    <w:p>
      <w:pPr>
        <w:pStyle w:val="ListBullet"/>
        <w:spacing w:after="60"/>
      </w:pPr>
      <w:r>
        <w:t>Making professional decisions (including valuation opinions, lease advisory recommendations or building defect assessments) based solely on AI output without independent human review and professional judgement</w:t>
      </w:r>
    </w:p>
    <w:p>
      <w:pPr>
        <w:pStyle w:val="ListBullet"/>
        <w:spacing w:after="60"/>
      </w:pPr>
      <w:r>
        <w:t>Generating final client-facing reports, certificates or formal advice without thorough review and verification by a qualified professional</w:t>
      </w:r>
    </w:p>
    <w:p>
      <w:pPr>
        <w:pStyle w:val="ListBullet"/>
        <w:spacing w:after="60"/>
      </w:pPr>
      <w:r>
        <w:t>Using AI to create misleading, fabricated or inaccurate information</w:t>
      </w:r>
    </w:p>
    <w:p>
      <w:pPr>
        <w:pStyle w:val="ListBullet"/>
        <w:spacing w:after="60"/>
      </w:pPr>
      <w:r>
        <w:t>Using AI to circumvent internal controls, compliance procedures or professional standards</w:t>
      </w:r>
    </w:p>
    <w:p>
      <w:pPr>
        <w:pStyle w:val="ListBullet"/>
        <w:spacing w:after="60"/>
      </w:pPr>
      <w:r>
        <w:t>Using AI to generate content that infringes third-party intellectual property rights</w:t>
      </w:r>
    </w:p>
    <w:p>
      <w:pPr>
        <w:pStyle w:val="Heading1"/>
      </w:pPr>
      <w:r>
        <w:t>5. Client Disclosure and Consent</w:t>
      </w:r>
    </w:p>
    <w:p>
      <w:pPr>
        <w:spacing w:after="120"/>
      </w:pPr>
      <w:r>
        <w:t>The Company is committed to transparency regarding the use of AI in its service delivery. The following disclosure obligations apply:</w:t>
      </w:r>
    </w:p>
    <w:p>
      <w:pPr>
        <w:pStyle w:val="ListBullet"/>
        <w:spacing w:after="60"/>
      </w:pPr>
      <w:r>
        <w:t>Terms of engagement should include a statement that the Company may use AI tools to assist with service delivery where appropriate</w:t>
      </w:r>
    </w:p>
    <w:p>
      <w:pPr>
        <w:pStyle w:val="ListBullet"/>
        <w:spacing w:after="60"/>
      </w:pPr>
      <w:r>
        <w:t>Where AI tools are used to process client-specific data, the client's informed consent must be obtained before such processing takes place</w:t>
      </w:r>
    </w:p>
    <w:p>
      <w:pPr>
        <w:pStyle w:val="ListBullet"/>
        <w:spacing w:after="60"/>
      </w:pPr>
      <w:r>
        <w:t>Clients may request that AI tools are not used in connection with their instructions, and such requests must be respected</w:t>
      </w:r>
    </w:p>
    <w:p>
      <w:pPr>
        <w:pStyle w:val="ListBullet"/>
        <w:spacing w:after="60"/>
      </w:pPr>
      <w:r>
        <w:t>The use of AI does not diminish the Company's professional obligations, duty of care or professional indemnity responsibilities</w:t>
      </w:r>
    </w:p>
    <w:p>
      <w:pPr>
        <w:pStyle w:val="Heading1"/>
      </w:pPr>
      <w:r>
        <w:t>6. AI Output Verification</w:t>
      </w:r>
    </w:p>
    <w:p>
      <w:pPr>
        <w:spacing w:after="120"/>
      </w:pPr>
      <w:r>
        <w:t>All AI-generated content must be subject to appropriate human review before being used in any professional context. The following principles apply:</w:t>
      </w:r>
    </w:p>
    <w:p>
      <w:pPr>
        <w:pStyle w:val="ListBullet"/>
        <w:spacing w:after="60"/>
      </w:pPr>
      <w:r>
        <w:t>Professional judgement must always be applied to AI-generated outputs. AI is a tool to assist, not replace, professional expertise.</w:t>
      </w:r>
    </w:p>
    <w:p>
      <w:pPr>
        <w:pStyle w:val="ListBullet"/>
        <w:spacing w:after="60"/>
      </w:pPr>
      <w:r>
        <w:t>Factual claims generated by AI must be independently verified before inclusion in client-facing documents</w:t>
      </w:r>
    </w:p>
    <w:p>
      <w:pPr>
        <w:pStyle w:val="ListBullet"/>
        <w:spacing w:after="60"/>
      </w:pPr>
      <w:r>
        <w:t>Legal references, case citations and regulatory references must be checked against primary sources</w:t>
      </w:r>
    </w:p>
    <w:p>
      <w:pPr>
        <w:pStyle w:val="ListBullet"/>
        <w:spacing w:after="60"/>
      </w:pPr>
      <w:r>
        <w:t>Numerical calculations and data analysis must be verified for accuracy</w:t>
      </w:r>
    </w:p>
    <w:p>
      <w:pPr>
        <w:pStyle w:val="ListBullet"/>
        <w:spacing w:after="60"/>
      </w:pPr>
      <w:r>
        <w:t>The person who uses AI output in their work bears professional responsibility for its accuracy and appropriateness</w:t>
      </w:r>
    </w:p>
    <w:p>
      <w:pPr>
        <w:pStyle w:val="ListBullet"/>
        <w:spacing w:after="60"/>
      </w:pPr>
      <w:r>
        <w:t>AI-generated code must be reviewed, tested and understood before being deployed to production systems</w:t>
      </w:r>
    </w:p>
    <w:p>
      <w:pPr>
        <w:pStyle w:val="Heading1"/>
      </w:pPr>
      <w:r>
        <w:t>7. Data Residency and Processing</w:t>
      </w:r>
    </w:p>
    <w:p>
      <w:pPr>
        <w:spacing w:after="120"/>
      </w:pPr>
      <w:r>
        <w:t>Employees must be aware that AI tools process data in various jurisdictions. The following considerations apply:</w:t>
      </w:r>
    </w:p>
    <w:p>
      <w:pPr>
        <w:pStyle w:val="ListBullet"/>
        <w:spacing w:after="60"/>
      </w:pPr>
      <w:r>
        <w:t>Most AI providers process data in the United States. Some providers offer EU-based processing for enterprise customers.</w:t>
      </w:r>
    </w:p>
    <w:p>
      <w:pPr>
        <w:pStyle w:val="ListBullet"/>
        <w:spacing w:after="60"/>
      </w:pPr>
      <w:r>
        <w:t>Client data remains subject to UK GDPR regardless of where it is processed by an AI provider</w:t>
      </w:r>
    </w:p>
    <w:p>
      <w:pPr>
        <w:pStyle w:val="ListBullet"/>
        <w:spacing w:after="60"/>
      </w:pPr>
      <w:r>
        <w:t>Enterprise or business versions of AI tools should be used where available, as these typically offer stronger data protection commitments and do not use input data for model training</w:t>
      </w:r>
    </w:p>
    <w:p>
      <w:pPr>
        <w:pStyle w:val="ListBullet"/>
        <w:spacing w:after="60"/>
      </w:pPr>
      <w:r>
        <w:t>Employees should review the data processing terms of AI tools before inputting any data classified as Confidential or above under the Company's Information Security Policy</w:t>
      </w:r>
    </w:p>
    <w:p>
      <w:pPr>
        <w:pStyle w:val="ListBullet"/>
        <w:spacing w:after="60"/>
      </w:pPr>
      <w:r>
        <w:t>Where data processing agreements are available from AI providers, these should be executed and maintained on file</w:t>
      </w:r>
    </w:p>
    <w:p>
      <w:pPr>
        <w:pStyle w:val="Heading1"/>
      </w:pPr>
      <w:r>
        <w:t>8. Personal Projects and External Activities</w:t>
      </w:r>
    </w:p>
    <w:p>
      <w:pPr>
        <w:spacing w:after="120"/>
      </w:pPr>
      <w:r>
        <w:t>Employees may undertake personal projects outside of working hours, subject to the following conditions:</w:t>
      </w:r>
    </w:p>
    <w:p>
      <w:pPr>
        <w:pStyle w:val="ListBullet"/>
        <w:spacing w:after="60"/>
      </w:pPr>
      <w:r>
        <w:t>Personal projects must not conflict with the Company's business interests or compete with any Company product or service</w:t>
      </w:r>
    </w:p>
    <w:p>
      <w:pPr>
        <w:pStyle w:val="ListBullet"/>
        <w:spacing w:after="60"/>
      </w:pPr>
      <w:r>
        <w:t>Company intellectual property, including source code, data, methodologies and client information, must not be used in personal projects under any circumstances</w:t>
      </w:r>
    </w:p>
    <w:p>
      <w:pPr>
        <w:pStyle w:val="ListBullet"/>
        <w:spacing w:after="60"/>
      </w:pPr>
      <w:r>
        <w:t>Company time, equipment and resources must not be used for personal projects</w:t>
      </w:r>
    </w:p>
    <w:p>
      <w:pPr>
        <w:pStyle w:val="ListBullet"/>
        <w:spacing w:after="60"/>
      </w:pPr>
      <w:r>
        <w:t>If a personal project is in a field related to the Company's business (property, PropTech, professional services technology), the employee must disclose this to a Director in writing before commencing the project</w:t>
      </w:r>
    </w:p>
    <w:p>
      <w:pPr>
        <w:pStyle w:val="ListBullet"/>
        <w:spacing w:after="60"/>
      </w:pPr>
      <w:r>
        <w:t>Employees have an ongoing obligation to disclose any invention, creation or development that may fall within the scope of their employment duties, even if conceived outside working hours</w:t>
      </w:r>
    </w:p>
    <w:p>
      <w:pPr>
        <w:pStyle w:val="Heading1"/>
      </w:pPr>
      <w:r>
        <w:t>9. Training and Support</w:t>
      </w:r>
    </w:p>
    <w:p>
      <w:pPr>
        <w:spacing w:after="120"/>
      </w:pPr>
      <w:r>
        <w:t>The Company is committed to supporting employees in the responsible and effective use of AI tools and in understanding their IP obligations:</w:t>
      </w:r>
    </w:p>
    <w:p>
      <w:pPr>
        <w:pStyle w:val="ListBullet"/>
        <w:spacing w:after="60"/>
      </w:pPr>
      <w:r>
        <w:t>All new employees will receive training on this policy during induction</w:t>
      </w:r>
    </w:p>
    <w:p>
      <w:pPr>
        <w:pStyle w:val="ListBullet"/>
        <w:spacing w:after="60"/>
      </w:pPr>
      <w:r>
        <w:t>Refresher training will be provided annually or when significant changes are made to approved tools or this policy</w:t>
      </w:r>
    </w:p>
    <w:p>
      <w:pPr>
        <w:pStyle w:val="ListBullet"/>
        <w:spacing w:after="60"/>
      </w:pPr>
      <w:r>
        <w:t>Employees are encouraged to share best practices and effective uses of AI tools with colleagues</w:t>
      </w:r>
    </w:p>
    <w:p>
      <w:pPr>
        <w:pStyle w:val="ListBullet"/>
        <w:spacing w:after="60"/>
      </w:pPr>
      <w:r>
        <w:t>Questions about IP ownership or AI usage should be directed to a Director in the first instance</w:t>
      </w:r>
    </w:p>
    <w:p>
      <w:pPr>
        <w:pStyle w:val="ListBullet"/>
        <w:spacing w:after="60"/>
      </w:pPr>
      <w:r>
        <w:t>The Company will maintain a log of approved AI tools and their data processing arrangements</w:t>
      </w:r>
    </w:p>
    <w:p>
      <w:pPr>
        <w:pStyle w:val="Heading1"/>
      </w:pPr>
      <w:r>
        <w:t>10. Consequences of Breach</w:t>
      </w:r>
    </w:p>
    <w:p>
      <w:pPr>
        <w:spacing w:after="120"/>
      </w:pPr>
      <w:r>
        <w:t>Breach of this policy may result in disciplinary action, up to and including summary dismissal for gross misconduct. In particular:</w:t>
      </w:r>
    </w:p>
    <w:p>
      <w:pPr>
        <w:pStyle w:val="ListBullet"/>
        <w:spacing w:after="60"/>
      </w:pPr>
      <w:r>
        <w:t>Misappropriation of Company intellectual property may constitute theft and/or breach of confidence, and may result in civil proceedings and/or criminal prosecution</w:t>
      </w:r>
    </w:p>
    <w:p>
      <w:pPr>
        <w:pStyle w:val="ListBullet"/>
        <w:spacing w:after="60"/>
      </w:pPr>
      <w:r>
        <w:t>Unauthorised disclosure of client data through AI tools may constitute a data protection breach, reportable to the Information Commissioner's Office</w:t>
      </w:r>
    </w:p>
    <w:p>
      <w:pPr>
        <w:pStyle w:val="ListBullet"/>
        <w:spacing w:after="60"/>
      </w:pPr>
      <w:r>
        <w:t>Breaches affecting the Company's RICS registration or professional standing will be treated with particular severity</w:t>
      </w:r>
    </w:p>
    <w:p>
      <w:pPr>
        <w:pStyle w:val="ListBullet"/>
        <w:spacing w:after="60"/>
      </w:pPr>
      <w:r>
        <w:t>The Company reserves the right to seek injunctive relief and damages in respect of any breach of the IP provisions of this policy</w:t>
      </w:r>
    </w:p>
    <w:p>
      <w:pPr>
        <w:pStyle w:val="Heading1"/>
      </w:pPr>
      <w:r>
        <w:t>11. Document Control</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Field</w:t>
            </w:r>
          </w:p>
        </w:tc>
        <w:tc>
          <w:tcPr>
            <w:tcW w:type="dxa" w:w="6803"/>
            <w:shd w:fill="1E40AF"/>
          </w:tcPr>
          <w:p>
            <w:pPr>
              <w:jc w:val="left"/>
            </w:pPr>
            <w:r>
              <w:rPr>
                <w:rFonts w:ascii="Calibri" w:hAnsi="Calibri"/>
                <w:b/>
                <w:color w:val="FFFFFF"/>
                <w:sz w:val="20"/>
              </w:rPr>
              <w:t>Detail</w:t>
            </w:r>
          </w:p>
        </w:tc>
      </w:tr>
      <w:tr>
        <w:tc>
          <w:tcPr>
            <w:tcW w:type="dxa" w:w="2835"/>
          </w:tcPr>
          <w:p>
            <w:r>
              <w:rPr>
                <w:rFonts w:ascii="Calibri" w:hAnsi="Calibri"/>
                <w:color w:val="333333"/>
                <w:sz w:val="20"/>
              </w:rPr>
              <w:t>Document Title</w:t>
            </w:r>
          </w:p>
        </w:tc>
        <w:tc>
          <w:tcPr>
            <w:tcW w:type="dxa" w:w="6803"/>
          </w:tcPr>
          <w:p>
            <w:r>
              <w:rPr>
                <w:rFonts w:ascii="Calibri" w:hAnsi="Calibri"/>
                <w:color w:val="333333"/>
                <w:sz w:val="20"/>
              </w:rPr>
              <w:t>Intellectual Property and AI Usage Policy</w:t>
            </w:r>
          </w:p>
        </w:tc>
      </w:tr>
      <w:tr>
        <w:tc>
          <w:tcPr>
            <w:tcW w:type="dxa" w:w="2835"/>
          </w:tcPr>
          <w:p>
            <w:r>
              <w:rPr>
                <w:rFonts w:ascii="Calibri" w:hAnsi="Calibri"/>
                <w:color w:val="333333"/>
                <w:sz w:val="20"/>
              </w:rPr>
              <w:t>Version</w:t>
            </w:r>
          </w:p>
        </w:tc>
        <w:tc>
          <w:tcPr>
            <w:tcW w:type="dxa" w:w="6803"/>
          </w:tcPr>
          <w:p>
            <w:r>
              <w:rPr>
                <w:rFonts w:ascii="Calibri" w:hAnsi="Calibri"/>
                <w:color w:val="333333"/>
                <w:sz w:val="20"/>
              </w:rPr>
              <w:t>1.0</w:t>
            </w:r>
          </w:p>
        </w:tc>
      </w:tr>
      <w:tr>
        <w:tc>
          <w:tcPr>
            <w:tcW w:type="dxa" w:w="2835"/>
          </w:tcPr>
          <w:p>
            <w:r>
              <w:rPr>
                <w:rFonts w:ascii="Calibri" w:hAnsi="Calibri"/>
                <w:color w:val="333333"/>
                <w:sz w:val="20"/>
              </w:rPr>
              <w:t>Effective Date</w:t>
            </w:r>
          </w:p>
        </w:tc>
        <w:tc>
          <w:tcPr>
            <w:tcW w:type="dxa" w:w="6803"/>
          </w:tcPr>
          <w:p>
            <w:r>
              <w:rPr>
                <w:rFonts w:ascii="Calibri" w:hAnsi="Calibri"/>
                <w:color w:val="333333"/>
                <w:sz w:val="20"/>
              </w:rPr>
              <w:t>February 2026</w:t>
            </w:r>
          </w:p>
        </w:tc>
      </w:tr>
      <w:tr>
        <w:tc>
          <w:tcPr>
            <w:tcW w:type="dxa" w:w="2835"/>
          </w:tcPr>
          <w:p>
            <w:r>
              <w:rPr>
                <w:rFonts w:ascii="Calibri" w:hAnsi="Calibri"/>
                <w:color w:val="333333"/>
                <w:sz w:val="20"/>
              </w:rPr>
              <w:t>Next Review Date</w:t>
            </w:r>
          </w:p>
        </w:tc>
        <w:tc>
          <w:tcPr>
            <w:tcW w:type="dxa" w:w="6803"/>
          </w:tcPr>
          <w:p>
            <w:r>
              <w:rPr>
                <w:rFonts w:ascii="Calibri" w:hAnsi="Calibri"/>
                <w:color w:val="333333"/>
                <w:sz w:val="20"/>
              </w:rPr>
              <w:t>February 2027</w:t>
            </w:r>
          </w:p>
        </w:tc>
      </w:tr>
      <w:tr>
        <w:tc>
          <w:tcPr>
            <w:tcW w:type="dxa" w:w="2835"/>
          </w:tcPr>
          <w:p>
            <w:r>
              <w:rPr>
                <w:rFonts w:ascii="Calibri" w:hAnsi="Calibri"/>
                <w:color w:val="333333"/>
                <w:sz w:val="20"/>
              </w:rPr>
              <w:t>Owner</w:t>
            </w:r>
          </w:p>
        </w:tc>
        <w:tc>
          <w:tcPr>
            <w:tcW w:type="dxa" w:w="6803"/>
          </w:tcPr>
          <w:p>
            <w:r>
              <w:rPr>
                <w:rFonts w:ascii="Calibri" w:hAnsi="Calibri"/>
                <w:color w:val="333333"/>
                <w:sz w:val="20"/>
              </w:rPr>
              <w:t>Matt Fitzgerald MRICS, Managing Director</w:t>
            </w:r>
          </w:p>
        </w:tc>
      </w:tr>
      <w:tr>
        <w:tc>
          <w:tcPr>
            <w:tcW w:type="dxa" w:w="2835"/>
          </w:tcPr>
          <w:p>
            <w:r>
              <w:rPr>
                <w:rFonts w:ascii="Calibri" w:hAnsi="Calibri"/>
                <w:color w:val="333333"/>
                <w:sz w:val="20"/>
              </w:rPr>
              <w:t>Approved By</w:t>
            </w:r>
          </w:p>
        </w:tc>
        <w:tc>
          <w:tcPr>
            <w:tcW w:type="dxa" w:w="6803"/>
          </w:tcPr>
          <w:p>
            <w:r>
              <w:rPr>
                <w:rFonts w:ascii="Calibri" w:hAnsi="Calibri"/>
                <w:color w:val="333333"/>
                <w:sz w:val="20"/>
              </w:rPr>
              <w:t>Matt Fitzgerald MRICS / Jamie Smyth MRICS</w:t>
            </w:r>
          </w:p>
        </w:tc>
      </w:tr>
      <w:tr>
        <w:tc>
          <w:tcPr>
            <w:tcW w:type="dxa" w:w="2835"/>
          </w:tcPr>
          <w:p>
            <w:r>
              <w:rPr>
                <w:rFonts w:ascii="Calibri" w:hAnsi="Calibri"/>
                <w:color w:val="333333"/>
                <w:sz w:val="20"/>
              </w:rPr>
              <w:t>Classification</w:t>
            </w:r>
          </w:p>
        </w:tc>
        <w:tc>
          <w:tcPr>
            <w:tcW w:type="dxa" w:w="6803"/>
          </w:tcPr>
          <w:p>
            <w:r>
              <w:rPr>
                <w:rFonts w:ascii="Calibri" w:hAnsi="Calibri"/>
                <w:color w:val="333333"/>
                <w:sz w:val="20"/>
              </w:rPr>
              <w:t>Confidential — Internal</w:t>
            </w:r>
          </w:p>
        </w:tc>
      </w:tr>
    </w:tbl>
    <w:p/>
    <w:p>
      <w:pPr>
        <w:spacing w:after="120"/>
      </w:pPr>
      <w:r>
        <w:t>Signed:</w:t>
      </w:r>
    </w:p>
    <w:p>
      <w:pPr>
        <w:spacing w:after="120"/>
      </w:pPr>
    </w:p>
    <w:p>
      <w:pPr>
        <w:spacing w:after="120"/>
      </w:pPr>
      <w:r>
        <w:t>____________________________________</w:t>
      </w:r>
    </w:p>
    <w:p>
      <w:pPr>
        <w:spacing w:after="120"/>
      </w:pPr>
      <w:r>
        <w:t>Matt Fitzgerald MRICS</w:t>
      </w:r>
    </w:p>
    <w:p>
      <w:pPr>
        <w:spacing w:after="120"/>
      </w:pPr>
      <w:r>
        <w:t>Managing Director, Hillway Holdings Ltd</w:t>
      </w:r>
    </w:p>
    <w:p>
      <w:pPr>
        <w:spacing w:after="120"/>
      </w:pPr>
      <w:r>
        <w:t>Date: ___________________</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