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jc w:val="center"/>
      </w:pPr>
      <w:r>
        <w:drawing>
          <wp:inline xmlns:a="http://schemas.openxmlformats.org/drawingml/2006/main" xmlns:pic="http://schemas.openxmlformats.org/drawingml/2006/picture">
            <wp:extent cx="2286000" cy="1514475"/>
            <wp:docPr id="1" name="Picture 1"/>
            <wp:cNvGraphicFramePr>
              <a:graphicFrameLocks noChangeAspect="1"/>
            </wp:cNvGraphicFramePr>
            <a:graphic>
              <a:graphicData uri="http://schemas.openxmlformats.org/drawingml/2006/picture">
                <pic:pic>
                  <pic:nvPicPr>
                    <pic:cNvPr id="0" name="hillway-logo.png"/>
                    <pic:cNvPicPr/>
                  </pic:nvPicPr>
                  <pic:blipFill>
                    <a:blip r:embed="rId9"/>
                    <a:stretch>
                      <a:fillRect/>
                    </a:stretch>
                  </pic:blipFill>
                  <pic:spPr>
                    <a:xfrm>
                      <a:off x="0" y="0"/>
                      <a:ext cx="2286000" cy="1514475"/>
                    </a:xfrm>
                    <a:prstGeom prst="rect"/>
                  </pic:spPr>
                </pic:pic>
              </a:graphicData>
            </a:graphic>
          </wp:inline>
        </w:drawing>
      </w:r>
    </w:p>
    <w:p/>
    <w:p>
      <w:pPr>
        <w:jc w:val="center"/>
      </w:pPr>
      <w:r>
        <w:rPr>
          <w:rFonts w:ascii="Calibri" w:hAnsi="Calibri"/>
          <w:b/>
          <w:color w:val="0F172A"/>
          <w:sz w:val="56"/>
        </w:rPr>
        <w:t>Information Security Policy</w:t>
      </w:r>
    </w:p>
    <w:p>
      <w:pPr>
        <w:jc w:val="center"/>
      </w:pPr>
      <w:r>
        <w:rPr>
          <w:rFonts w:ascii="Calibri" w:hAnsi="Calibri"/>
          <w:color w:val="64748B"/>
          <w:sz w:val="28"/>
        </w:rPr>
        <w:t>Hillway Holdings Ltd</w:t>
      </w:r>
    </w:p>
    <w:p/>
    <w:p/>
    <w:p/>
    <w:p>
      <w:pPr>
        <w:jc w:val="center"/>
      </w:pPr>
      <w:r>
        <w:rPr>
          <w:color w:val="1E40AF"/>
          <w:sz w:val="24"/>
        </w:rPr>
        <w:t>━━━━━━━━━━━━━━━━━━━━━━━━━━━━━━━━━━━━━━━━</w:t>
      </w:r>
    </w:p>
    <w:p/>
    <w:p>
      <w:pPr>
        <w:spacing w:after="40"/>
        <w:jc w:val="center"/>
      </w:pPr>
      <w:r>
        <w:rPr>
          <w:rFonts w:ascii="Calibri" w:hAnsi="Calibri"/>
          <w:b/>
          <w:color w:val="64748B"/>
          <w:sz w:val="20"/>
        </w:rPr>
        <w:t xml:space="preserve">Hillway Holdings Ltd: </w:t>
      </w:r>
      <w:r>
        <w:rPr>
          <w:rFonts w:ascii="Calibri" w:hAnsi="Calibri"/>
          <w:color w:val="333333"/>
          <w:sz w:val="20"/>
        </w:rPr>
        <w:t>Trading as Hillway</w:t>
      </w:r>
    </w:p>
    <w:p>
      <w:pPr>
        <w:spacing w:after="40"/>
        <w:jc w:val="center"/>
      </w:pPr>
      <w:r>
        <w:rPr>
          <w:rFonts w:ascii="Calibri" w:hAnsi="Calibri"/>
          <w:b/>
          <w:color w:val="64748B"/>
          <w:sz w:val="20"/>
        </w:rPr>
        <w:t xml:space="preserve">Version: </w:t>
      </w:r>
      <w:r>
        <w:rPr>
          <w:rFonts w:ascii="Calibri" w:hAnsi="Calibri"/>
          <w:color w:val="333333"/>
          <w:sz w:val="20"/>
        </w:rPr>
        <w:t>1.0</w:t>
      </w:r>
    </w:p>
    <w:p>
      <w:pPr>
        <w:spacing w:after="40"/>
        <w:jc w:val="center"/>
      </w:pPr>
      <w:r>
        <w:rPr>
          <w:rFonts w:ascii="Calibri" w:hAnsi="Calibri"/>
          <w:b/>
          <w:color w:val="64748B"/>
          <w:sz w:val="20"/>
        </w:rPr>
        <w:t xml:space="preserve">Date: </w:t>
      </w:r>
      <w:r>
        <w:rPr>
          <w:rFonts w:ascii="Calibri" w:hAnsi="Calibri"/>
          <w:color w:val="333333"/>
          <w:sz w:val="20"/>
        </w:rPr>
        <w:t>February 2026</w:t>
      </w:r>
    </w:p>
    <w:p>
      <w:pPr>
        <w:spacing w:after="40"/>
        <w:jc w:val="center"/>
      </w:pPr>
      <w:r>
        <w:rPr>
          <w:rFonts w:ascii="Calibri" w:hAnsi="Calibri"/>
          <w:b/>
          <w:color w:val="64748B"/>
          <w:sz w:val="20"/>
        </w:rPr>
        <w:t xml:space="preserve">Classification: </w:t>
      </w:r>
      <w:r>
        <w:rPr>
          <w:rFonts w:ascii="Calibri" w:hAnsi="Calibri"/>
          <w:color w:val="333333"/>
          <w:sz w:val="20"/>
        </w:rPr>
        <w:t>Confidential</w:t>
      </w:r>
    </w:p>
    <w:p>
      <w:r>
        <w:br w:type="page"/>
      </w:r>
    </w:p>
    <w:p>
      <w:pPr>
        <w:pStyle w:val="Heading1"/>
      </w:pPr>
      <w:r>
        <w:t>1. Purpose and Scope</w:t>
      </w:r>
    </w:p>
    <w:p>
      <w:pPr>
        <w:spacing w:after="120"/>
      </w:pPr>
      <w:r>
        <w:t>This policy establishes the framework for protecting the confidentiality, integrity and availability of information held by Hillway Holdings Ltd ("the Company"). It applies to all employees, contractors, consultants and third parties who access Company information systems or data.</w:t>
      </w:r>
    </w:p>
    <w:p>
      <w:pPr>
        <w:spacing w:after="120"/>
      </w:pPr>
      <w:r>
        <w:t>The Company handles significant volumes of sensitive client data in the course of its property consultancy and management services, including valuations, lease terms, financial information and personal data. The Company also develops proprietary technology products which require robust protection of source code, algorithms and user data.</w:t>
      </w:r>
    </w:p>
    <w:p>
      <w:pPr>
        <w:spacing w:after="120"/>
      </w:pPr>
      <w:r>
        <w:t>This policy should be read in conjunction with the Company's Data Protection Policy, IP and AI Usage Policy, and Remote Working Policy.</w:t>
      </w:r>
    </w:p>
    <w:p>
      <w:pPr>
        <w:pStyle w:val="Heading1"/>
      </w:pPr>
      <w:r>
        <w:t>2. Data Classification</w:t>
      </w:r>
    </w:p>
    <w:p>
      <w:pPr>
        <w:spacing w:after="120"/>
      </w:pPr>
      <w:r>
        <w:t>All Company information must be classified according to the following scheme. The classification determines the minimum security controls that must be applied.</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E40AF"/>
          </w:tcPr>
          <w:p>
            <w:pPr>
              <w:jc w:val="left"/>
            </w:pPr>
            <w:r>
              <w:rPr>
                <w:rFonts w:ascii="Calibri" w:hAnsi="Calibri"/>
                <w:b/>
                <w:color w:val="FFFFFF"/>
                <w:sz w:val="20"/>
              </w:rPr>
              <w:t>Classification</w:t>
            </w:r>
          </w:p>
        </w:tc>
        <w:tc>
          <w:tcPr>
            <w:tcW w:type="dxa" w:w="3402"/>
            <w:shd w:fill="1E40AF"/>
          </w:tcPr>
          <w:p>
            <w:pPr>
              <w:jc w:val="left"/>
            </w:pPr>
            <w:r>
              <w:rPr>
                <w:rFonts w:ascii="Calibri" w:hAnsi="Calibri"/>
                <w:b/>
                <w:color w:val="FFFFFF"/>
                <w:sz w:val="20"/>
              </w:rPr>
              <w:t>Description</w:t>
            </w:r>
          </w:p>
        </w:tc>
        <w:tc>
          <w:tcPr>
            <w:tcW w:type="dxa" w:w="4535"/>
            <w:shd w:fill="1E40AF"/>
          </w:tcPr>
          <w:p>
            <w:pPr>
              <w:jc w:val="left"/>
            </w:pPr>
            <w:r>
              <w:rPr>
                <w:rFonts w:ascii="Calibri" w:hAnsi="Calibri"/>
                <w:b/>
                <w:color w:val="FFFFFF"/>
                <w:sz w:val="20"/>
              </w:rPr>
              <w:t>Examples</w:t>
            </w:r>
          </w:p>
        </w:tc>
      </w:tr>
      <w:tr>
        <w:tc>
          <w:tcPr>
            <w:tcW w:type="dxa" w:w="1701"/>
          </w:tcPr>
          <w:p>
            <w:r>
              <w:rPr>
                <w:rFonts w:ascii="Calibri" w:hAnsi="Calibri"/>
                <w:color w:val="333333"/>
                <w:sz w:val="20"/>
              </w:rPr>
              <w:t>PUBLIC</w:t>
            </w:r>
          </w:p>
        </w:tc>
        <w:tc>
          <w:tcPr>
            <w:tcW w:type="dxa" w:w="3402"/>
          </w:tcPr>
          <w:p>
            <w:r>
              <w:rPr>
                <w:rFonts w:ascii="Calibri" w:hAnsi="Calibri"/>
                <w:color w:val="333333"/>
                <w:sz w:val="20"/>
              </w:rPr>
              <w:t>Information intended for public consumption. No confidentiality requirements.</w:t>
            </w:r>
          </w:p>
        </w:tc>
        <w:tc>
          <w:tcPr>
            <w:tcW w:type="dxa" w:w="4535"/>
          </w:tcPr>
          <w:p>
            <w:r>
              <w:rPr>
                <w:rFonts w:ascii="Calibri" w:hAnsi="Calibri"/>
                <w:color w:val="333333"/>
                <w:sz w:val="20"/>
              </w:rPr>
              <w:t>Published marketing materials, website content, job advertisements, public accounts</w:t>
            </w:r>
          </w:p>
        </w:tc>
      </w:tr>
      <w:tr>
        <w:tc>
          <w:tcPr>
            <w:tcW w:type="dxa" w:w="1701"/>
          </w:tcPr>
          <w:p>
            <w:r>
              <w:rPr>
                <w:rFonts w:ascii="Calibri" w:hAnsi="Calibri"/>
                <w:color w:val="333333"/>
                <w:sz w:val="20"/>
              </w:rPr>
              <w:t>INTERNAL</w:t>
            </w:r>
          </w:p>
        </w:tc>
        <w:tc>
          <w:tcPr>
            <w:tcW w:type="dxa" w:w="3402"/>
          </w:tcPr>
          <w:p>
            <w:r>
              <w:rPr>
                <w:rFonts w:ascii="Calibri" w:hAnsi="Calibri"/>
                <w:color w:val="333333"/>
                <w:sz w:val="20"/>
              </w:rPr>
              <w:t>Information for internal use. Not sensitive but not intended for external distribution.</w:t>
            </w:r>
          </w:p>
        </w:tc>
        <w:tc>
          <w:tcPr>
            <w:tcW w:type="dxa" w:w="4535"/>
          </w:tcPr>
          <w:p>
            <w:r>
              <w:rPr>
                <w:rFonts w:ascii="Calibri" w:hAnsi="Calibri"/>
                <w:color w:val="333333"/>
                <w:sz w:val="20"/>
              </w:rPr>
              <w:t>Team communications, internal procedures, meeting agendas, non-sensitive operational data</w:t>
            </w:r>
          </w:p>
        </w:tc>
      </w:tr>
      <w:tr>
        <w:tc>
          <w:tcPr>
            <w:tcW w:type="dxa" w:w="1701"/>
          </w:tcPr>
          <w:p>
            <w:r>
              <w:rPr>
                <w:rFonts w:ascii="Calibri" w:hAnsi="Calibri"/>
                <w:color w:val="333333"/>
                <w:sz w:val="20"/>
              </w:rPr>
              <w:t>CONFIDENTIAL</w:t>
            </w:r>
          </w:p>
        </w:tc>
        <w:tc>
          <w:tcPr>
            <w:tcW w:type="dxa" w:w="3402"/>
          </w:tcPr>
          <w:p>
            <w:r>
              <w:rPr>
                <w:rFonts w:ascii="Calibri" w:hAnsi="Calibri"/>
                <w:color w:val="333333"/>
                <w:sz w:val="20"/>
              </w:rPr>
              <w:t>Sensitive business or client information. Unauthorised disclosure could cause harm.</w:t>
            </w:r>
          </w:p>
        </w:tc>
        <w:tc>
          <w:tcPr>
            <w:tcW w:type="dxa" w:w="4535"/>
          </w:tcPr>
          <w:p>
            <w:r>
              <w:rPr>
                <w:rFonts w:ascii="Calibri" w:hAnsi="Calibri"/>
                <w:color w:val="333333"/>
                <w:sz w:val="20"/>
              </w:rPr>
              <w:t>Client data, lease terms, valuations, financial information, personnel records, fee structures, client lists</w:t>
            </w:r>
          </w:p>
        </w:tc>
      </w:tr>
      <w:tr>
        <w:tc>
          <w:tcPr>
            <w:tcW w:type="dxa" w:w="1701"/>
          </w:tcPr>
          <w:p>
            <w:r>
              <w:rPr>
                <w:rFonts w:ascii="Calibri" w:hAnsi="Calibri"/>
                <w:color w:val="333333"/>
                <w:sz w:val="20"/>
              </w:rPr>
              <w:t>RESTRICTED</w:t>
            </w:r>
          </w:p>
        </w:tc>
        <w:tc>
          <w:tcPr>
            <w:tcW w:type="dxa" w:w="3402"/>
          </w:tcPr>
          <w:p>
            <w:r>
              <w:rPr>
                <w:rFonts w:ascii="Calibri" w:hAnsi="Calibri"/>
                <w:color w:val="333333"/>
                <w:sz w:val="20"/>
              </w:rPr>
              <w:t>Highly sensitive information. Unauthorised disclosure could cause severe harm.</w:t>
            </w:r>
          </w:p>
        </w:tc>
        <w:tc>
          <w:tcPr>
            <w:tcW w:type="dxa" w:w="4535"/>
          </w:tcPr>
          <w:p>
            <w:r>
              <w:rPr>
                <w:rFonts w:ascii="Calibri" w:hAnsi="Calibri"/>
                <w:color w:val="333333"/>
                <w:sz w:val="20"/>
              </w:rPr>
              <w:t>Encryption keys, access credentials, PII subject to specific regulatory requirements, M&amp;A deal data, security configurations</w:t>
            </w:r>
          </w:p>
        </w:tc>
      </w:tr>
    </w:tbl>
    <w:p/>
    <w:p>
      <w:pPr>
        <w:pStyle w:val="Heading2"/>
      </w:pPr>
      <w:r>
        <w:t>2.1 Handling Requirements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701"/>
            <w:shd w:fill="1E40AF"/>
          </w:tcPr>
          <w:p>
            <w:pPr>
              <w:jc w:val="left"/>
            </w:pPr>
            <w:r>
              <w:rPr>
                <w:rFonts w:ascii="Calibri" w:hAnsi="Calibri"/>
                <w:b/>
                <w:color w:val="FFFFFF"/>
                <w:sz w:val="20"/>
              </w:rPr>
              <w:t>Requirement</w:t>
            </w:r>
          </w:p>
        </w:tc>
        <w:tc>
          <w:tcPr>
            <w:tcW w:type="dxa" w:w="1701"/>
            <w:shd w:fill="1E40AF"/>
          </w:tcPr>
          <w:p>
            <w:pPr>
              <w:jc w:val="left"/>
            </w:pPr>
            <w:r>
              <w:rPr>
                <w:rFonts w:ascii="Calibri" w:hAnsi="Calibri"/>
                <w:b/>
                <w:color w:val="FFFFFF"/>
                <w:sz w:val="20"/>
              </w:rPr>
              <w:t>PUBLIC</w:t>
            </w:r>
          </w:p>
        </w:tc>
        <w:tc>
          <w:tcPr>
            <w:tcW w:type="dxa" w:w="1701"/>
            <w:shd w:fill="1E40AF"/>
          </w:tcPr>
          <w:p>
            <w:pPr>
              <w:jc w:val="left"/>
            </w:pPr>
            <w:r>
              <w:rPr>
                <w:rFonts w:ascii="Calibri" w:hAnsi="Calibri"/>
                <w:b/>
                <w:color w:val="FFFFFF"/>
                <w:sz w:val="20"/>
              </w:rPr>
              <w:t>INTERNAL</w:t>
            </w:r>
          </w:p>
        </w:tc>
        <w:tc>
          <w:tcPr>
            <w:tcW w:type="dxa" w:w="2268"/>
            <w:shd w:fill="1E40AF"/>
          </w:tcPr>
          <w:p>
            <w:pPr>
              <w:jc w:val="left"/>
            </w:pPr>
            <w:r>
              <w:rPr>
                <w:rFonts w:ascii="Calibri" w:hAnsi="Calibri"/>
                <w:b/>
                <w:color w:val="FFFFFF"/>
                <w:sz w:val="20"/>
              </w:rPr>
              <w:t>CONFIDENTIAL</w:t>
            </w:r>
          </w:p>
        </w:tc>
        <w:tc>
          <w:tcPr>
            <w:tcW w:type="dxa" w:w="2268"/>
            <w:shd w:fill="1E40AF"/>
          </w:tcPr>
          <w:p>
            <w:pPr>
              <w:jc w:val="left"/>
            </w:pPr>
            <w:r>
              <w:rPr>
                <w:rFonts w:ascii="Calibri" w:hAnsi="Calibri"/>
                <w:b/>
                <w:color w:val="FFFFFF"/>
                <w:sz w:val="20"/>
              </w:rPr>
              <w:t>RESTRICTED</w:t>
            </w:r>
          </w:p>
        </w:tc>
      </w:tr>
      <w:tr>
        <w:tc>
          <w:tcPr>
            <w:tcW w:type="dxa" w:w="1701"/>
          </w:tcPr>
          <w:p>
            <w:r>
              <w:rPr>
                <w:rFonts w:ascii="Calibri" w:hAnsi="Calibri"/>
                <w:color w:val="333333"/>
                <w:sz w:val="20"/>
              </w:rPr>
              <w:t>Labelling</w:t>
            </w:r>
          </w:p>
        </w:tc>
        <w:tc>
          <w:tcPr>
            <w:tcW w:type="dxa" w:w="1701"/>
          </w:tcPr>
          <w:p>
            <w:r>
              <w:rPr>
                <w:rFonts w:ascii="Calibri" w:hAnsi="Calibri"/>
                <w:color w:val="333333"/>
                <w:sz w:val="20"/>
              </w:rPr>
              <w:t>None required</w:t>
            </w:r>
          </w:p>
        </w:tc>
        <w:tc>
          <w:tcPr>
            <w:tcW w:type="dxa" w:w="1701"/>
          </w:tcPr>
          <w:p>
            <w:r>
              <w:rPr>
                <w:rFonts w:ascii="Calibri" w:hAnsi="Calibri"/>
                <w:color w:val="333333"/>
                <w:sz w:val="20"/>
              </w:rPr>
              <w:t>Optional</w:t>
            </w:r>
          </w:p>
        </w:tc>
        <w:tc>
          <w:tcPr>
            <w:tcW w:type="dxa" w:w="2268"/>
          </w:tcPr>
          <w:p>
            <w:r>
              <w:rPr>
                <w:rFonts w:ascii="Calibri" w:hAnsi="Calibri"/>
                <w:color w:val="333333"/>
                <w:sz w:val="20"/>
              </w:rPr>
              <w:t>Must be marked</w:t>
            </w:r>
          </w:p>
        </w:tc>
        <w:tc>
          <w:tcPr>
            <w:tcW w:type="dxa" w:w="2268"/>
          </w:tcPr>
          <w:p>
            <w:r>
              <w:rPr>
                <w:rFonts w:ascii="Calibri" w:hAnsi="Calibri"/>
                <w:color w:val="333333"/>
                <w:sz w:val="20"/>
              </w:rPr>
              <w:t>Must be marked</w:t>
            </w:r>
          </w:p>
        </w:tc>
      </w:tr>
      <w:tr>
        <w:tc>
          <w:tcPr>
            <w:tcW w:type="dxa" w:w="1701"/>
          </w:tcPr>
          <w:p>
            <w:r>
              <w:rPr>
                <w:rFonts w:ascii="Calibri" w:hAnsi="Calibri"/>
                <w:color w:val="333333"/>
                <w:sz w:val="20"/>
              </w:rPr>
              <w:t>Storage</w:t>
            </w:r>
          </w:p>
        </w:tc>
        <w:tc>
          <w:tcPr>
            <w:tcW w:type="dxa" w:w="1701"/>
          </w:tcPr>
          <w:p>
            <w:r>
              <w:rPr>
                <w:rFonts w:ascii="Calibri" w:hAnsi="Calibri"/>
                <w:color w:val="333333"/>
                <w:sz w:val="20"/>
              </w:rPr>
              <w:t>Any</w:t>
            </w:r>
          </w:p>
        </w:tc>
        <w:tc>
          <w:tcPr>
            <w:tcW w:type="dxa" w:w="1701"/>
          </w:tcPr>
          <w:p>
            <w:r>
              <w:rPr>
                <w:rFonts w:ascii="Calibri" w:hAnsi="Calibri"/>
                <w:color w:val="333333"/>
                <w:sz w:val="20"/>
              </w:rPr>
              <w:t>Company systems</w:t>
            </w:r>
          </w:p>
        </w:tc>
        <w:tc>
          <w:tcPr>
            <w:tcW w:type="dxa" w:w="2268"/>
          </w:tcPr>
          <w:p>
            <w:r>
              <w:rPr>
                <w:rFonts w:ascii="Calibri" w:hAnsi="Calibri"/>
                <w:color w:val="333333"/>
                <w:sz w:val="20"/>
              </w:rPr>
              <w:t>Encrypted, Company systems only</w:t>
            </w:r>
          </w:p>
        </w:tc>
        <w:tc>
          <w:tcPr>
            <w:tcW w:type="dxa" w:w="2268"/>
          </w:tcPr>
          <w:p>
            <w:r>
              <w:rPr>
                <w:rFonts w:ascii="Calibri" w:hAnsi="Calibri"/>
                <w:color w:val="333333"/>
                <w:sz w:val="20"/>
              </w:rPr>
              <w:t>Encrypted, restricted access</w:t>
            </w:r>
          </w:p>
        </w:tc>
      </w:tr>
      <w:tr>
        <w:tc>
          <w:tcPr>
            <w:tcW w:type="dxa" w:w="1701"/>
          </w:tcPr>
          <w:p>
            <w:r>
              <w:rPr>
                <w:rFonts w:ascii="Calibri" w:hAnsi="Calibri"/>
                <w:color w:val="333333"/>
                <w:sz w:val="20"/>
              </w:rPr>
              <w:t>Sharing</w:t>
            </w:r>
          </w:p>
        </w:tc>
        <w:tc>
          <w:tcPr>
            <w:tcW w:type="dxa" w:w="1701"/>
          </w:tcPr>
          <w:p>
            <w:r>
              <w:rPr>
                <w:rFonts w:ascii="Calibri" w:hAnsi="Calibri"/>
                <w:color w:val="333333"/>
                <w:sz w:val="20"/>
              </w:rPr>
              <w:t>Unrestricted</w:t>
            </w:r>
          </w:p>
        </w:tc>
        <w:tc>
          <w:tcPr>
            <w:tcW w:type="dxa" w:w="1701"/>
          </w:tcPr>
          <w:p>
            <w:r>
              <w:rPr>
                <w:rFonts w:ascii="Calibri" w:hAnsi="Calibri"/>
                <w:color w:val="333333"/>
                <w:sz w:val="20"/>
              </w:rPr>
              <w:t>Internal only</w:t>
            </w:r>
          </w:p>
        </w:tc>
        <w:tc>
          <w:tcPr>
            <w:tcW w:type="dxa" w:w="2268"/>
          </w:tcPr>
          <w:p>
            <w:r>
              <w:rPr>
                <w:rFonts w:ascii="Calibri" w:hAnsi="Calibri"/>
                <w:color w:val="333333"/>
                <w:sz w:val="20"/>
              </w:rPr>
              <w:t>Need-to-know, encrypted in transit</w:t>
            </w:r>
          </w:p>
        </w:tc>
        <w:tc>
          <w:tcPr>
            <w:tcW w:type="dxa" w:w="2268"/>
          </w:tcPr>
          <w:p>
            <w:r>
              <w:rPr>
                <w:rFonts w:ascii="Calibri" w:hAnsi="Calibri"/>
                <w:color w:val="333333"/>
                <w:sz w:val="20"/>
              </w:rPr>
              <w:t>Named individuals, encrypted, audit trail</w:t>
            </w:r>
          </w:p>
        </w:tc>
      </w:tr>
      <w:tr>
        <w:tc>
          <w:tcPr>
            <w:tcW w:type="dxa" w:w="1701"/>
          </w:tcPr>
          <w:p>
            <w:r>
              <w:rPr>
                <w:rFonts w:ascii="Calibri" w:hAnsi="Calibri"/>
                <w:color w:val="333333"/>
                <w:sz w:val="20"/>
              </w:rPr>
              <w:t>Printing</w:t>
            </w:r>
          </w:p>
        </w:tc>
        <w:tc>
          <w:tcPr>
            <w:tcW w:type="dxa" w:w="1701"/>
          </w:tcPr>
          <w:p>
            <w:r>
              <w:rPr>
                <w:rFonts w:ascii="Calibri" w:hAnsi="Calibri"/>
                <w:color w:val="333333"/>
                <w:sz w:val="20"/>
              </w:rPr>
              <w:t>Unrestricted</w:t>
            </w:r>
          </w:p>
        </w:tc>
        <w:tc>
          <w:tcPr>
            <w:tcW w:type="dxa" w:w="1701"/>
          </w:tcPr>
          <w:p>
            <w:r>
              <w:rPr>
                <w:rFonts w:ascii="Calibri" w:hAnsi="Calibri"/>
                <w:color w:val="333333"/>
                <w:sz w:val="20"/>
              </w:rPr>
              <w:t>Collect promptly</w:t>
            </w:r>
          </w:p>
        </w:tc>
        <w:tc>
          <w:tcPr>
            <w:tcW w:type="dxa" w:w="2268"/>
          </w:tcPr>
          <w:p>
            <w:r>
              <w:rPr>
                <w:rFonts w:ascii="Calibri" w:hAnsi="Calibri"/>
                <w:color w:val="333333"/>
                <w:sz w:val="20"/>
              </w:rPr>
              <w:t>Secure printing only</w:t>
            </w:r>
          </w:p>
        </w:tc>
        <w:tc>
          <w:tcPr>
            <w:tcW w:type="dxa" w:w="2268"/>
          </w:tcPr>
          <w:p>
            <w:r>
              <w:rPr>
                <w:rFonts w:ascii="Calibri" w:hAnsi="Calibri"/>
                <w:color w:val="333333"/>
                <w:sz w:val="20"/>
              </w:rPr>
              <w:t>Prohibited without Director approval</w:t>
            </w:r>
          </w:p>
        </w:tc>
      </w:tr>
      <w:tr>
        <w:tc>
          <w:tcPr>
            <w:tcW w:type="dxa" w:w="1701"/>
          </w:tcPr>
          <w:p>
            <w:r>
              <w:rPr>
                <w:rFonts w:ascii="Calibri" w:hAnsi="Calibri"/>
                <w:color w:val="333333"/>
                <w:sz w:val="20"/>
              </w:rPr>
              <w:t>Disposal</w:t>
            </w:r>
          </w:p>
        </w:tc>
        <w:tc>
          <w:tcPr>
            <w:tcW w:type="dxa" w:w="1701"/>
          </w:tcPr>
          <w:p>
            <w:r>
              <w:rPr>
                <w:rFonts w:ascii="Calibri" w:hAnsi="Calibri"/>
                <w:color w:val="333333"/>
                <w:sz w:val="20"/>
              </w:rPr>
              <w:t>Normal waste</w:t>
            </w:r>
          </w:p>
        </w:tc>
        <w:tc>
          <w:tcPr>
            <w:tcW w:type="dxa" w:w="1701"/>
          </w:tcPr>
          <w:p>
            <w:r>
              <w:rPr>
                <w:rFonts w:ascii="Calibri" w:hAnsi="Calibri"/>
                <w:color w:val="333333"/>
                <w:sz w:val="20"/>
              </w:rPr>
              <w:t>Recycle bins</w:t>
            </w:r>
          </w:p>
        </w:tc>
        <w:tc>
          <w:tcPr>
            <w:tcW w:type="dxa" w:w="2268"/>
          </w:tcPr>
          <w:p>
            <w:r>
              <w:rPr>
                <w:rFonts w:ascii="Calibri" w:hAnsi="Calibri"/>
                <w:color w:val="333333"/>
                <w:sz w:val="20"/>
              </w:rPr>
              <w:t>Shredding (cross-cut)</w:t>
            </w:r>
          </w:p>
        </w:tc>
        <w:tc>
          <w:tcPr>
            <w:tcW w:type="dxa" w:w="2268"/>
          </w:tcPr>
          <w:p>
            <w:r>
              <w:rPr>
                <w:rFonts w:ascii="Calibri" w:hAnsi="Calibri"/>
                <w:color w:val="333333"/>
                <w:sz w:val="20"/>
              </w:rPr>
              <w:t>Shredding, confirmed destruction</w:t>
            </w:r>
          </w:p>
        </w:tc>
      </w:tr>
    </w:tbl>
    <w:p/>
    <w:p>
      <w:pPr>
        <w:pStyle w:val="Heading1"/>
      </w:pPr>
      <w:r>
        <w:t>3. Access Control</w:t>
      </w:r>
    </w:p>
    <w:p>
      <w:pPr>
        <w:pStyle w:val="Heading2"/>
      </w:pPr>
      <w:r>
        <w:t>3.1 Principle of Least Privilege</w:t>
      </w:r>
    </w:p>
    <w:p>
      <w:pPr>
        <w:spacing w:after="120"/>
      </w:pPr>
      <w:r>
        <w:t>Access to Company information and systems must be granted on the principle of least privilege: users should have access only to the information and systems they need to perform their job functions, and no more.</w:t>
      </w:r>
    </w:p>
    <w:p>
      <w:pPr>
        <w:pStyle w:val="Heading2"/>
      </w:pPr>
      <w:r>
        <w:t>3.2 Role-Based Access</w:t>
      </w:r>
    </w:p>
    <w:p>
      <w:pPr>
        <w:spacing w:after="120"/>
      </w:pPr>
      <w:r>
        <w:t>Access rights are assigned based on job role and approved by the employee's line manager or a Director. Standard access profiles are defined for each role and reviewed when roles change.</w:t>
      </w:r>
    </w:p>
    <w:p>
      <w:pPr>
        <w:pStyle w:val="Heading2"/>
      </w:pPr>
      <w:r>
        <w:t>3.3 Access Reviews</w:t>
      </w:r>
    </w:p>
    <w:p>
      <w:pPr>
        <w:spacing w:after="120"/>
      </w:pPr>
      <w:r>
        <w:t>Access rights are reviewed quarterly. Reviews cover all systems including Google Workspace, Supabase, GitHub, Vercel, Slack, Xero and any other systems holding Company or client data. Unnecessary access must be removed promptly.</w:t>
      </w:r>
    </w:p>
    <w:p>
      <w:pPr>
        <w:pStyle w:val="Heading2"/>
      </w:pPr>
      <w:r>
        <w:t>3.4 Joiners, Movers and Leavers</w:t>
      </w:r>
    </w:p>
    <w:p>
      <w:pPr>
        <w:pStyle w:val="ListBullet"/>
        <w:spacing w:after="60"/>
      </w:pPr>
      <w:r>
        <w:t>Joiners: Access provisioned before start date, based on role profile, approved by line manager</w:t>
      </w:r>
    </w:p>
    <w:p>
      <w:pPr>
        <w:pStyle w:val="ListBullet"/>
        <w:spacing w:after="60"/>
      </w:pPr>
      <w:r>
        <w:t>Movers: Access reviewed within 5 working days of role change. Previous access removed where no longer required.</w:t>
      </w:r>
    </w:p>
    <w:p>
      <w:pPr>
        <w:pStyle w:val="ListBullet"/>
        <w:spacing w:after="60"/>
      </w:pPr>
      <w:r>
        <w:t>Leavers: All access revoked on or before the last day of employment. Equipment returned. Company data removed from personal devices.</w:t>
      </w:r>
    </w:p>
    <w:p>
      <w:pPr>
        <w:pStyle w:val="Heading2"/>
      </w:pPr>
      <w:r>
        <w:t>3.5 Administrator Accounts</w:t>
      </w:r>
    </w:p>
    <w:p>
      <w:pPr>
        <w:spacing w:after="120"/>
      </w:pPr>
      <w:r>
        <w:t>Administrator and privileged access accounts are limited to the minimum number of personnel required. Admin accounts must not be used for routine tasks. All admin actions should be logged and auditable.</w:t>
      </w:r>
    </w:p>
    <w:p>
      <w:pPr>
        <w:pStyle w:val="Heading1"/>
      </w:pPr>
      <w:r>
        <w:t>4. Authentication</w:t>
      </w:r>
    </w:p>
    <w:p>
      <w:pPr>
        <w:pStyle w:val="Heading2"/>
      </w:pPr>
      <w:r>
        <w:t>4.1 Multi-Factor Authentication</w:t>
      </w:r>
    </w:p>
    <w:p>
      <w:pPr>
        <w:spacing w:after="120"/>
      </w:pPr>
      <w:r>
        <w:t>Multi-factor authentication (MFA/2FA) is mandatory on all Company systems that support it. This includes Google Workspace, GitHub, Supabase, Vercel, Xero, Slack and any other cloud services. Hardware security keys or authenticator apps are preferred; SMS-based 2FA is acceptable only where no alternative exists.</w:t>
      </w:r>
    </w:p>
    <w:p>
      <w:pPr>
        <w:pStyle w:val="Heading2"/>
      </w:pPr>
      <w:r>
        <w:t>4.2 Password Policy</w:t>
      </w:r>
    </w:p>
    <w:p>
      <w:pPr>
        <w:pStyle w:val="ListBullet"/>
        <w:spacing w:after="60"/>
      </w:pPr>
      <w:r>
        <w:t>Minimum length: 12 characters</w:t>
      </w:r>
    </w:p>
    <w:p>
      <w:pPr>
        <w:pStyle w:val="ListBullet"/>
        <w:spacing w:after="60"/>
      </w:pPr>
      <w:r>
        <w:t>Must be unique to each system (no password reuse)</w:t>
      </w:r>
    </w:p>
    <w:p>
      <w:pPr>
        <w:pStyle w:val="ListBullet"/>
        <w:spacing w:after="60"/>
      </w:pPr>
      <w:r>
        <w:t>Use of a password manager is strongly recommended (e.g. 1Password, Bitwarden)</w:t>
      </w:r>
    </w:p>
    <w:p>
      <w:pPr>
        <w:pStyle w:val="ListBullet"/>
        <w:spacing w:after="60"/>
      </w:pPr>
      <w:r>
        <w:t>Passwords must not be shared, written down or stored in unencrypted files</w:t>
      </w:r>
    </w:p>
    <w:p>
      <w:pPr>
        <w:pStyle w:val="ListBullet"/>
        <w:spacing w:after="60"/>
      </w:pPr>
      <w:r>
        <w:t>Default passwords must be changed immediately on first use</w:t>
      </w:r>
    </w:p>
    <w:p>
      <w:pPr>
        <w:pStyle w:val="ListBullet"/>
        <w:spacing w:after="60"/>
      </w:pPr>
      <w:r>
        <w:t>Compromised passwords must be changed immediately and reported to a Director</w:t>
      </w:r>
    </w:p>
    <w:p>
      <w:pPr>
        <w:pStyle w:val="Heading2"/>
      </w:pPr>
      <w:r>
        <w:t>4.3 Session Management</w:t>
      </w:r>
    </w:p>
    <w:p>
      <w:pPr>
        <w:pStyle w:val="ListBullet"/>
        <w:spacing w:after="60"/>
      </w:pPr>
      <w:r>
        <w:t>Automatic session timeout after 15 minutes of inactivity on all systems where configurable</w:t>
      </w:r>
    </w:p>
    <w:p>
      <w:pPr>
        <w:pStyle w:val="ListBullet"/>
        <w:spacing w:after="60"/>
      </w:pPr>
      <w:r>
        <w:t>Manual screen lock when leaving a device unattended (Ctrl+L / Cmd+L)</w:t>
      </w:r>
    </w:p>
    <w:p>
      <w:pPr>
        <w:pStyle w:val="ListBullet"/>
        <w:spacing w:after="60"/>
      </w:pPr>
      <w:r>
        <w:t>No shared accounts — every user must have their own credentials</w:t>
      </w:r>
    </w:p>
    <w:p>
      <w:pPr>
        <w:pStyle w:val="Heading1"/>
      </w:pPr>
      <w:r>
        <w:t>5. Device Security</w:t>
      </w:r>
    </w:p>
    <w:p>
      <w:pPr>
        <w:pStyle w:val="Heading2"/>
      </w:pPr>
      <w:r>
        <w:t>5.1 Company Devices</w:t>
      </w:r>
    </w:p>
    <w:p>
      <w:pPr>
        <w:pStyle w:val="ListBullet"/>
        <w:spacing w:after="60"/>
      </w:pPr>
      <w:r>
        <w:t>Full disk encryption must be enabled on all laptops and desktops (FileVault on macOS, BitLocker on Windows)</w:t>
      </w:r>
    </w:p>
    <w:p>
      <w:pPr>
        <w:pStyle w:val="ListBullet"/>
        <w:spacing w:after="60"/>
      </w:pPr>
      <w:r>
        <w:t>Automatic screen lock after a maximum of 5 minutes of inactivity</w:t>
      </w:r>
    </w:p>
    <w:p>
      <w:pPr>
        <w:pStyle w:val="ListBullet"/>
        <w:spacing w:after="60"/>
      </w:pPr>
      <w:r>
        <w:t>Approved antivirus or endpoint detection and response (EDR) software must be installed and kept up to date</w:t>
      </w:r>
    </w:p>
    <w:p>
      <w:pPr>
        <w:pStyle w:val="ListBullet"/>
        <w:spacing w:after="60"/>
      </w:pPr>
      <w:r>
        <w:t>Operating system and application updates must be applied within 7 days of release, or immediately for critical security patches</w:t>
      </w:r>
    </w:p>
    <w:p>
      <w:pPr>
        <w:pStyle w:val="ListBullet"/>
        <w:spacing w:after="60"/>
      </w:pPr>
      <w:r>
        <w:t>USB storage devices are discouraged. Where necessary, only encrypted USB devices may be used for Confidential data</w:t>
      </w:r>
    </w:p>
    <w:p>
      <w:pPr>
        <w:pStyle w:val="ListBullet"/>
        <w:spacing w:after="60"/>
      </w:pPr>
      <w:r>
        <w:t>Devices must not be left unattended in public places (cafes, trains, etc.)</w:t>
      </w:r>
    </w:p>
    <w:p>
      <w:pPr>
        <w:pStyle w:val="Heading2"/>
      </w:pPr>
      <w:r>
        <w:t>5.2 Lost or Stolen Devices</w:t>
      </w:r>
    </w:p>
    <w:p>
      <w:pPr>
        <w:spacing w:after="120"/>
      </w:pPr>
      <w:r>
        <w:t>In the event of a lost or stolen device:</w:t>
      </w:r>
    </w:p>
    <w:p>
      <w:pPr>
        <w:pStyle w:val="ListBullet"/>
        <w:spacing w:after="60"/>
      </w:pPr>
      <w:r>
        <w:t>Report immediately to a Director (do not wait)</w:t>
      </w:r>
    </w:p>
    <w:p>
      <w:pPr>
        <w:pStyle w:val="ListBullet"/>
        <w:spacing w:after="60"/>
      </w:pPr>
      <w:r>
        <w:t>Remote wipe will be initiated where possible</w:t>
      </w:r>
    </w:p>
    <w:p>
      <w:pPr>
        <w:pStyle w:val="ListBullet"/>
        <w:spacing w:after="60"/>
      </w:pPr>
      <w:r>
        <w:t>All passwords for services accessed from the device must be changed</w:t>
      </w:r>
    </w:p>
    <w:p>
      <w:pPr>
        <w:pStyle w:val="ListBullet"/>
        <w:spacing w:after="60"/>
      </w:pPr>
      <w:r>
        <w:t>Assess whether a data breach has occurred and follow the Data Breach Response procedure if so</w:t>
      </w:r>
    </w:p>
    <w:p>
      <w:pPr>
        <w:pStyle w:val="Heading2"/>
      </w:pPr>
      <w:r>
        <w:t>5.3 Personal Devices</w:t>
      </w:r>
    </w:p>
    <w:p>
      <w:pPr>
        <w:spacing w:after="120"/>
      </w:pPr>
      <w:r>
        <w:t>Use of personal devices for Company business is discouraged. Where personal devices are used with Director approval, they must meet the same security standards as Company devices (encryption, screen lock, up-to-date software). The Company reserves the right to remote wipe Company data from personal devices.</w:t>
      </w:r>
    </w:p>
    <w:p>
      <w:pPr>
        <w:pStyle w:val="Heading1"/>
      </w:pPr>
      <w:r>
        <w:t>6. Remote Access</w:t>
      </w:r>
    </w:p>
    <w:p>
      <w:pPr>
        <w:pStyle w:val="ListBullet"/>
        <w:spacing w:after="60"/>
      </w:pPr>
      <w:r>
        <w:t>A secure connection (VPN or equivalent) is required when accessing Company systems over public or untrusted networks</w:t>
      </w:r>
    </w:p>
    <w:p>
      <w:pPr>
        <w:pStyle w:val="ListBullet"/>
        <w:spacing w:after="60"/>
      </w:pPr>
      <w:r>
        <w:t>Public Wi-Fi (cafes, hotels, airports) must only be used with an active VPN connection</w:t>
      </w:r>
    </w:p>
    <w:p>
      <w:pPr>
        <w:pStyle w:val="ListBullet"/>
        <w:spacing w:after="60"/>
      </w:pPr>
      <w:r>
        <w:t>Sensitive or Confidential data must not be accessed or processed on personal devices without Director approval</w:t>
      </w:r>
    </w:p>
    <w:p>
      <w:pPr>
        <w:pStyle w:val="ListBullet"/>
        <w:spacing w:after="60"/>
      </w:pPr>
      <w:r>
        <w:t>Home network security: router firmware should be up to date, default router passwords changed, WPA2/WPA3 encryption enabled</w:t>
      </w:r>
    </w:p>
    <w:p>
      <w:pPr>
        <w:pStyle w:val="Heading1"/>
      </w:pPr>
      <w:r>
        <w:t>7. Email Security</w:t>
      </w:r>
    </w:p>
    <w:p>
      <w:pPr>
        <w:pStyle w:val="ListBullet"/>
        <w:spacing w:after="60"/>
      </w:pPr>
      <w:r>
        <w:t>Be vigilant for phishing emails. Check sender addresses carefully, especially for domain spoofing</w:t>
      </w:r>
    </w:p>
    <w:p>
      <w:pPr>
        <w:pStyle w:val="ListBullet"/>
        <w:spacing w:after="60"/>
      </w:pPr>
      <w:r>
        <w:t>Report suspicious emails immediately to a Director or the IT support contact. Do not click links or open attachments in suspicious emails</w:t>
      </w:r>
    </w:p>
    <w:p>
      <w:pPr>
        <w:pStyle w:val="ListBullet"/>
        <w:spacing w:after="60"/>
      </w:pPr>
      <w:r>
        <w:t>Do not auto-forward Company email to personal email accounts</w:t>
      </w:r>
    </w:p>
    <w:p>
      <w:pPr>
        <w:pStyle w:val="ListBullet"/>
        <w:spacing w:after="60"/>
      </w:pPr>
      <w:r>
        <w:t>Use encryption (Google Workspace confidential mode or equivalent) when sending Confidential or Restricted data by email</w:t>
      </w:r>
    </w:p>
    <w:p>
      <w:pPr>
        <w:pStyle w:val="ListBullet"/>
        <w:spacing w:after="60"/>
      </w:pPr>
      <w:r>
        <w:t>Do not use personal email accounts for Company business</w:t>
      </w:r>
    </w:p>
    <w:p>
      <w:pPr>
        <w:pStyle w:val="ListBullet"/>
        <w:spacing w:after="60"/>
      </w:pPr>
      <w:r>
        <w:t>Exercise caution with email attachments from unknown senders. Use Google Workspace's built-in scanning capabilities</w:t>
      </w:r>
    </w:p>
    <w:p>
      <w:pPr>
        <w:pStyle w:val="Heading1"/>
      </w:pPr>
      <w:r>
        <w:t>8. Cloud Services</w:t>
      </w:r>
    </w:p>
    <w:p>
      <w:pPr>
        <w:pStyle w:val="Heading2"/>
      </w:pPr>
      <w:r>
        <w:t>8.1 Approved Services</w:t>
      </w:r>
    </w:p>
    <w:p>
      <w:pPr>
        <w:spacing w:after="120"/>
      </w:pPr>
      <w:r>
        <w:t>The following cloud services are approved for Company use:</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E40AF"/>
          </w:tcPr>
          <w:p>
            <w:pPr>
              <w:jc w:val="left"/>
            </w:pPr>
            <w:r>
              <w:rPr>
                <w:rFonts w:ascii="Calibri" w:hAnsi="Calibri"/>
                <w:b/>
                <w:color w:val="FFFFFF"/>
                <w:sz w:val="20"/>
              </w:rPr>
              <w:t>Service</w:t>
            </w:r>
          </w:p>
        </w:tc>
        <w:tc>
          <w:tcPr>
            <w:tcW w:type="dxa" w:w="3969"/>
            <w:shd w:fill="1E40AF"/>
          </w:tcPr>
          <w:p>
            <w:pPr>
              <w:jc w:val="left"/>
            </w:pPr>
            <w:r>
              <w:rPr>
                <w:rFonts w:ascii="Calibri" w:hAnsi="Calibri"/>
                <w:b/>
                <w:color w:val="FFFFFF"/>
                <w:sz w:val="20"/>
              </w:rPr>
              <w:t>Purpose</w:t>
            </w:r>
          </w:p>
        </w:tc>
        <w:tc>
          <w:tcPr>
            <w:tcW w:type="dxa" w:w="2835"/>
            <w:shd w:fill="1E40AF"/>
          </w:tcPr>
          <w:p>
            <w:pPr>
              <w:jc w:val="left"/>
            </w:pPr>
            <w:r>
              <w:rPr>
                <w:rFonts w:ascii="Calibri" w:hAnsi="Calibri"/>
                <w:b/>
                <w:color w:val="FFFFFF"/>
                <w:sz w:val="20"/>
              </w:rPr>
              <w:t>Data Classification Permitted</w:t>
            </w:r>
          </w:p>
        </w:tc>
      </w:tr>
      <w:tr>
        <w:tc>
          <w:tcPr>
            <w:tcW w:type="dxa" w:w="1701"/>
          </w:tcPr>
          <w:p>
            <w:r>
              <w:rPr>
                <w:rFonts w:ascii="Calibri" w:hAnsi="Calibri"/>
                <w:color w:val="333333"/>
                <w:sz w:val="20"/>
              </w:rPr>
              <w:t>Google Workspace</w:t>
            </w:r>
          </w:p>
        </w:tc>
        <w:tc>
          <w:tcPr>
            <w:tcW w:type="dxa" w:w="3969"/>
          </w:tcPr>
          <w:p>
            <w:r>
              <w:rPr>
                <w:rFonts w:ascii="Calibri" w:hAnsi="Calibri"/>
                <w:color w:val="333333"/>
                <w:sz w:val="20"/>
              </w:rPr>
              <w:t>Email, documents, calendar, communications</w:t>
            </w:r>
          </w:p>
        </w:tc>
        <w:tc>
          <w:tcPr>
            <w:tcW w:type="dxa" w:w="2835"/>
          </w:tcPr>
          <w:p>
            <w:r>
              <w:rPr>
                <w:rFonts w:ascii="Calibri" w:hAnsi="Calibri"/>
                <w:color w:val="333333"/>
                <w:sz w:val="20"/>
              </w:rPr>
              <w:t>Up to Confidential</w:t>
            </w:r>
          </w:p>
        </w:tc>
      </w:tr>
      <w:tr>
        <w:tc>
          <w:tcPr>
            <w:tcW w:type="dxa" w:w="1701"/>
          </w:tcPr>
          <w:p>
            <w:r>
              <w:rPr>
                <w:rFonts w:ascii="Calibri" w:hAnsi="Calibri"/>
                <w:color w:val="333333"/>
                <w:sz w:val="20"/>
              </w:rPr>
              <w:t>Supabase</w:t>
            </w:r>
          </w:p>
        </w:tc>
        <w:tc>
          <w:tcPr>
            <w:tcW w:type="dxa" w:w="3969"/>
          </w:tcPr>
          <w:p>
            <w:r>
              <w:rPr>
                <w:rFonts w:ascii="Calibri" w:hAnsi="Calibri"/>
                <w:color w:val="333333"/>
                <w:sz w:val="20"/>
              </w:rPr>
              <w:t>Database hosting, authentication, edge functions</w:t>
            </w:r>
          </w:p>
        </w:tc>
        <w:tc>
          <w:tcPr>
            <w:tcW w:type="dxa" w:w="2835"/>
          </w:tcPr>
          <w:p>
            <w:r>
              <w:rPr>
                <w:rFonts w:ascii="Calibri" w:hAnsi="Calibri"/>
                <w:color w:val="333333"/>
                <w:sz w:val="20"/>
              </w:rPr>
              <w:t>Up to Confidential</w:t>
            </w:r>
          </w:p>
        </w:tc>
      </w:tr>
      <w:tr>
        <w:tc>
          <w:tcPr>
            <w:tcW w:type="dxa" w:w="1701"/>
          </w:tcPr>
          <w:p>
            <w:r>
              <w:rPr>
                <w:rFonts w:ascii="Calibri" w:hAnsi="Calibri"/>
                <w:color w:val="333333"/>
                <w:sz w:val="20"/>
              </w:rPr>
              <w:t>Vercel</w:t>
            </w:r>
          </w:p>
        </w:tc>
        <w:tc>
          <w:tcPr>
            <w:tcW w:type="dxa" w:w="3969"/>
          </w:tcPr>
          <w:p>
            <w:r>
              <w:rPr>
                <w:rFonts w:ascii="Calibri" w:hAnsi="Calibri"/>
                <w:color w:val="333333"/>
                <w:sz w:val="20"/>
              </w:rPr>
              <w:t>Web application hosting and deployment</w:t>
            </w:r>
          </w:p>
        </w:tc>
        <w:tc>
          <w:tcPr>
            <w:tcW w:type="dxa" w:w="2835"/>
          </w:tcPr>
          <w:p>
            <w:r>
              <w:rPr>
                <w:rFonts w:ascii="Calibri" w:hAnsi="Calibri"/>
                <w:color w:val="333333"/>
                <w:sz w:val="20"/>
              </w:rPr>
              <w:t>Up to Internal</w:t>
            </w:r>
          </w:p>
        </w:tc>
      </w:tr>
      <w:tr>
        <w:tc>
          <w:tcPr>
            <w:tcW w:type="dxa" w:w="1701"/>
          </w:tcPr>
          <w:p>
            <w:r>
              <w:rPr>
                <w:rFonts w:ascii="Calibri" w:hAnsi="Calibri"/>
                <w:color w:val="333333"/>
                <w:sz w:val="20"/>
              </w:rPr>
              <w:t>GitHub</w:t>
            </w:r>
          </w:p>
        </w:tc>
        <w:tc>
          <w:tcPr>
            <w:tcW w:type="dxa" w:w="3969"/>
          </w:tcPr>
          <w:p>
            <w:r>
              <w:rPr>
                <w:rFonts w:ascii="Calibri" w:hAnsi="Calibri"/>
                <w:color w:val="333333"/>
                <w:sz w:val="20"/>
              </w:rPr>
              <w:t>Source code management and collaboration</w:t>
            </w:r>
          </w:p>
        </w:tc>
        <w:tc>
          <w:tcPr>
            <w:tcW w:type="dxa" w:w="2835"/>
          </w:tcPr>
          <w:p>
            <w:r>
              <w:rPr>
                <w:rFonts w:ascii="Calibri" w:hAnsi="Calibri"/>
                <w:color w:val="333333"/>
                <w:sz w:val="20"/>
              </w:rPr>
              <w:t>Up to Confidential</w:t>
            </w:r>
          </w:p>
        </w:tc>
      </w:tr>
      <w:tr>
        <w:tc>
          <w:tcPr>
            <w:tcW w:type="dxa" w:w="1701"/>
          </w:tcPr>
          <w:p>
            <w:r>
              <w:rPr>
                <w:rFonts w:ascii="Calibri" w:hAnsi="Calibri"/>
                <w:color w:val="333333"/>
                <w:sz w:val="20"/>
              </w:rPr>
              <w:t>Slack</w:t>
            </w:r>
          </w:p>
        </w:tc>
        <w:tc>
          <w:tcPr>
            <w:tcW w:type="dxa" w:w="3969"/>
          </w:tcPr>
          <w:p>
            <w:r>
              <w:rPr>
                <w:rFonts w:ascii="Calibri" w:hAnsi="Calibri"/>
                <w:color w:val="333333"/>
                <w:sz w:val="20"/>
              </w:rPr>
              <w:t>Team communication</w:t>
            </w:r>
          </w:p>
        </w:tc>
        <w:tc>
          <w:tcPr>
            <w:tcW w:type="dxa" w:w="2835"/>
          </w:tcPr>
          <w:p>
            <w:r>
              <w:rPr>
                <w:rFonts w:ascii="Calibri" w:hAnsi="Calibri"/>
                <w:color w:val="333333"/>
                <w:sz w:val="20"/>
              </w:rPr>
              <w:t>Up to Internal</w:t>
            </w:r>
          </w:p>
        </w:tc>
      </w:tr>
      <w:tr>
        <w:tc>
          <w:tcPr>
            <w:tcW w:type="dxa" w:w="1701"/>
          </w:tcPr>
          <w:p>
            <w:r>
              <w:rPr>
                <w:rFonts w:ascii="Calibri" w:hAnsi="Calibri"/>
                <w:color w:val="333333"/>
                <w:sz w:val="20"/>
              </w:rPr>
              <w:t>Xero</w:t>
            </w:r>
          </w:p>
        </w:tc>
        <w:tc>
          <w:tcPr>
            <w:tcW w:type="dxa" w:w="3969"/>
          </w:tcPr>
          <w:p>
            <w:r>
              <w:rPr>
                <w:rFonts w:ascii="Calibri" w:hAnsi="Calibri"/>
                <w:color w:val="333333"/>
                <w:sz w:val="20"/>
              </w:rPr>
              <w:t>Financial accounting and invoicing</w:t>
            </w:r>
          </w:p>
        </w:tc>
        <w:tc>
          <w:tcPr>
            <w:tcW w:type="dxa" w:w="2835"/>
          </w:tcPr>
          <w:p>
            <w:r>
              <w:rPr>
                <w:rFonts w:ascii="Calibri" w:hAnsi="Calibri"/>
                <w:color w:val="333333"/>
                <w:sz w:val="20"/>
              </w:rPr>
              <w:t>Up to Confidential</w:t>
            </w:r>
          </w:p>
        </w:tc>
      </w:tr>
    </w:tbl>
    <w:p/>
    <w:p>
      <w:pPr>
        <w:pStyle w:val="Heading2"/>
      </w:pPr>
      <w:r>
        <w:t>8.2 Unapproved Services</w:t>
      </w:r>
    </w:p>
    <w:p>
      <w:pPr>
        <w:spacing w:after="120"/>
      </w:pPr>
      <w:r>
        <w:t>The use of unapproved cloud storage or collaboration services for Company data is prohibited. This includes personal Dropbox, personal Google Drive, WeTransfer for sensitive data, and any other service not listed above. Requests for new services should be made to a Director.</w:t>
      </w:r>
    </w:p>
    <w:p>
      <w:pPr>
        <w:pStyle w:val="Heading2"/>
      </w:pPr>
      <w:r>
        <w:t>8.3 Data Sovereignty</w:t>
      </w:r>
    </w:p>
    <w:p>
      <w:pPr>
        <w:spacing w:after="120"/>
      </w:pPr>
      <w:r>
        <w:t>Where practicable, data should be stored in UK or EU data centres. Where data is processed outside the UK, appropriate safeguards must be in place as required by UK GDPR (e.g. standard contractual clauses, adequacy decisions).</w:t>
      </w:r>
    </w:p>
    <w:p>
      <w:pPr>
        <w:pStyle w:val="Heading1"/>
      </w:pPr>
      <w:r>
        <w:t>9. Data Breach Response</w:t>
      </w:r>
    </w:p>
    <w:p>
      <w:pPr>
        <w:pStyle w:val="Heading2"/>
      </w:pPr>
      <w:r>
        <w:t>9.1 Definition</w:t>
      </w:r>
    </w:p>
    <w:p>
      <w:pPr>
        <w:spacing w:after="120"/>
      </w:pPr>
      <w:r>
        <w:t>A data breach is any incident that leads to the accidental or unlawful destruction, loss, alteration, unauthorised disclosure of, or access to, personal data or confidential business information. This includes lost devices, misdirected emails, unauthorised access to systems, and ransomware or other cyber attacks.</w:t>
      </w:r>
    </w:p>
    <w:p>
      <w:pPr>
        <w:pStyle w:val="Heading2"/>
      </w:pPr>
      <w:r>
        <w:t>9.2 Immediate Actions</w:t>
      </w:r>
    </w:p>
    <w:p>
      <w:pPr>
        <w:pStyle w:val="ListBullet"/>
        <w:spacing w:after="60"/>
      </w:pPr>
      <w:r>
        <w:t>Contain: Take immediate steps to limit the breach (e.g. change passwords, revoke access, isolate affected systems)</w:t>
      </w:r>
    </w:p>
    <w:p>
      <w:pPr>
        <w:pStyle w:val="ListBullet"/>
        <w:spacing w:after="60"/>
      </w:pPr>
      <w:r>
        <w:t>Assess: Determine the nature and scope of the breach — what data, how many individuals, how it occurred</w:t>
      </w:r>
    </w:p>
    <w:p>
      <w:pPr>
        <w:pStyle w:val="ListBullet"/>
        <w:spacing w:after="60"/>
      </w:pPr>
      <w:r>
        <w:t>Record: Document everything from the point of discovery, including times, actions taken and decisions made</w:t>
      </w:r>
    </w:p>
    <w:p>
      <w:pPr>
        <w:pStyle w:val="Heading2"/>
      </w:pPr>
      <w:r>
        <w:t>9.3 Notification</w:t>
      </w:r>
    </w:p>
    <w:p>
      <w:pPr>
        <w:pStyle w:val="ListBullet"/>
        <w:spacing w:after="60"/>
      </w:pPr>
      <w:r>
        <w:t>ICO notification: If the breach is likely to result in a risk to individuals' rights and freedoms, notify the Information Commissioner's Office within 72 hours of becoming aware of the breach</w:t>
      </w:r>
    </w:p>
    <w:p>
      <w:pPr>
        <w:pStyle w:val="ListBullet"/>
        <w:spacing w:after="60"/>
      </w:pPr>
      <w:r>
        <w:t>Individual notification: If the breach is likely to result in a high risk to individuals, notify affected individuals without undue delay</w:t>
      </w:r>
    </w:p>
    <w:p>
      <w:pPr>
        <w:pStyle w:val="ListBullet"/>
        <w:spacing w:after="60"/>
      </w:pPr>
      <w:r>
        <w:t>RICS notification: Consider whether the breach needs to be reported to RICS under professional obligations</w:t>
      </w:r>
    </w:p>
    <w:p>
      <w:pPr>
        <w:pStyle w:val="ListBullet"/>
        <w:spacing w:after="60"/>
      </w:pPr>
      <w:r>
        <w:t>Insurer notification: Notify professional indemnity insurers of any breach that may give rise to a claim</w:t>
      </w:r>
    </w:p>
    <w:p>
      <w:pPr>
        <w:pStyle w:val="Heading2"/>
      </w:pPr>
      <w:r>
        <w:t>9.4 Post-Incident Review</w:t>
      </w:r>
    </w:p>
    <w:p>
      <w:pPr>
        <w:spacing w:after="120"/>
      </w:pPr>
      <w:r>
        <w:t>Following any data breach, a post-incident review must be conducted to identify the root cause, assess the effectiveness of the response, and implement measures to prevent recurrence. Findings must be documented and any policy changes implemented promptly.</w:t>
      </w:r>
    </w:p>
    <w:p>
      <w:pPr>
        <w:pStyle w:val="Heading2"/>
      </w:pPr>
      <w:r>
        <w:t>9.5 Roles and Responsibilities</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Role</w:t>
            </w:r>
          </w:p>
        </w:tc>
        <w:tc>
          <w:tcPr>
            <w:tcW w:type="dxa" w:w="6803"/>
            <w:shd w:fill="1E40AF"/>
          </w:tcPr>
          <w:p>
            <w:pPr>
              <w:jc w:val="left"/>
            </w:pPr>
            <w:r>
              <w:rPr>
                <w:rFonts w:ascii="Calibri" w:hAnsi="Calibri"/>
                <w:b/>
                <w:color w:val="FFFFFF"/>
                <w:sz w:val="20"/>
              </w:rPr>
              <w:t>Responsibility</w:t>
            </w:r>
          </w:p>
        </w:tc>
      </w:tr>
      <w:tr>
        <w:tc>
          <w:tcPr>
            <w:tcW w:type="dxa" w:w="2835"/>
          </w:tcPr>
          <w:p>
            <w:r>
              <w:rPr>
                <w:rFonts w:ascii="Calibri" w:hAnsi="Calibri"/>
                <w:color w:val="333333"/>
                <w:sz w:val="20"/>
              </w:rPr>
              <w:t>Matt Fitzgerald MRICS</w:t>
            </w:r>
          </w:p>
        </w:tc>
        <w:tc>
          <w:tcPr>
            <w:tcW w:type="dxa" w:w="6803"/>
          </w:tcPr>
          <w:p>
            <w:r>
              <w:rPr>
                <w:rFonts w:ascii="Calibri" w:hAnsi="Calibri"/>
                <w:color w:val="333333"/>
                <w:sz w:val="20"/>
              </w:rPr>
              <w:t>Data breach lead. Overall responsibility for breach response and ICO notification decisions.</w:t>
            </w:r>
          </w:p>
        </w:tc>
      </w:tr>
      <w:tr>
        <w:tc>
          <w:tcPr>
            <w:tcW w:type="dxa" w:w="2835"/>
          </w:tcPr>
          <w:p>
            <w:r>
              <w:rPr>
                <w:rFonts w:ascii="Calibri" w:hAnsi="Calibri"/>
                <w:color w:val="333333"/>
                <w:sz w:val="20"/>
              </w:rPr>
              <w:t>Jamie Smyth MRICS</w:t>
            </w:r>
          </w:p>
        </w:tc>
        <w:tc>
          <w:tcPr>
            <w:tcW w:type="dxa" w:w="6803"/>
          </w:tcPr>
          <w:p>
            <w:r>
              <w:rPr>
                <w:rFonts w:ascii="Calibri" w:hAnsi="Calibri"/>
                <w:color w:val="333333"/>
                <w:sz w:val="20"/>
              </w:rPr>
              <w:t>Deputy data breach lead. Assumes responsibility in Matt's absence.</w:t>
            </w:r>
          </w:p>
        </w:tc>
      </w:tr>
      <w:tr>
        <w:tc>
          <w:tcPr>
            <w:tcW w:type="dxa" w:w="2835"/>
          </w:tcPr>
          <w:p>
            <w:r>
              <w:rPr>
                <w:rFonts w:ascii="Calibri" w:hAnsi="Calibri"/>
                <w:color w:val="333333"/>
                <w:sz w:val="20"/>
              </w:rPr>
              <w:t>All employees</w:t>
            </w:r>
          </w:p>
        </w:tc>
        <w:tc>
          <w:tcPr>
            <w:tcW w:type="dxa" w:w="6803"/>
          </w:tcPr>
          <w:p>
            <w:r>
              <w:rPr>
                <w:rFonts w:ascii="Calibri" w:hAnsi="Calibri"/>
                <w:color w:val="333333"/>
                <w:sz w:val="20"/>
              </w:rPr>
              <w:t>Report any suspected breach immediately. Do not attempt to investigate or conceal.</w:t>
            </w:r>
          </w:p>
        </w:tc>
      </w:tr>
    </w:tbl>
    <w:p/>
    <w:p>
      <w:pPr>
        <w:pStyle w:val="Heading1"/>
      </w:pPr>
      <w:r>
        <w:t>10. Physical Security</w:t>
      </w:r>
    </w:p>
    <w:p>
      <w:pPr>
        <w:pStyle w:val="ListBullet"/>
        <w:spacing w:after="60"/>
      </w:pPr>
      <w:r>
        <w:t>Clean desk policy: Confidential and Restricted documents must not be left on desks when unattended. Secure in a locked drawer or cabinet.</w:t>
      </w:r>
    </w:p>
    <w:p>
      <w:pPr>
        <w:pStyle w:val="ListBullet"/>
        <w:spacing w:after="60"/>
      </w:pPr>
      <w:r>
        <w:t>Secure printing: Use secure print (pull printing) for Confidential documents where available. Collect printed documents immediately.</w:t>
      </w:r>
    </w:p>
    <w:p>
      <w:pPr>
        <w:pStyle w:val="ListBullet"/>
        <w:spacing w:after="60"/>
      </w:pPr>
      <w:r>
        <w:t>Visitor management: Visitors to the office (Cubo, Sheffield) must be signed in and accompanied in work areas. Do not leave visitors unattended near screens or documents.</w:t>
        <w:br/>
        <w:br/>
        <w:t>Doncaster Office: First Floor, David House, 30 South Parade, Bawtry, Doncaster, South Yorkshire, DN10 6JH</w:t>
      </w:r>
    </w:p>
    <w:p>
      <w:pPr>
        <w:pStyle w:val="ListBullet"/>
        <w:spacing w:after="60"/>
      </w:pPr>
      <w:r>
        <w:t>Secure disposal: Paper documents classified as Confidential or Restricted must be cross-cut shredded. Electronic media must be securely wiped or physically destroyed in accordance with WEEE regulations.</w:t>
      </w:r>
    </w:p>
    <w:p>
      <w:pPr>
        <w:pStyle w:val="Heading1"/>
      </w:pPr>
      <w:r>
        <w:t>11. Property-Specific Security Considerations</w:t>
      </w:r>
    </w:p>
    <w:p>
      <w:pPr>
        <w:spacing w:after="120"/>
      </w:pPr>
      <w:r>
        <w:t>The Company's property consultancy work involves particular categories of sensitive information that require specific attention:</w:t>
      </w:r>
    </w:p>
    <w:p>
      <w:pPr>
        <w:pStyle w:val="ListBullet"/>
        <w:spacing w:after="60"/>
      </w:pPr>
      <w:r>
        <w:t>Valuation data: Always classified as Confidential or Restricted. Valuations may be market-sensitive and must be handled accordingly.</w:t>
      </w:r>
    </w:p>
    <w:p>
      <w:pPr>
        <w:pStyle w:val="ListBullet"/>
        <w:spacing w:after="60"/>
      </w:pPr>
      <w:r>
        <w:t>Rent review evidence: Classified as Confidential. Comparable evidence and negotiation strategies must not be shared inappropriately.</w:t>
      </w:r>
    </w:p>
    <w:p>
      <w:pPr>
        <w:pStyle w:val="ListBullet"/>
        <w:spacing w:after="60"/>
      </w:pPr>
      <w:r>
        <w:t>Acquisition and disposal strategies: Classified as Restricted. Premature disclosure could prejudice the client's position.</w:t>
      </w:r>
    </w:p>
    <w:p>
      <w:pPr>
        <w:pStyle w:val="ListBullet"/>
        <w:spacing w:after="60"/>
      </w:pPr>
      <w:r>
        <w:t>Tenant personal data: Classified as Confidential. Subject to UK GDPR. Only process for legitimate property management purposes.</w:t>
      </w:r>
    </w:p>
    <w:p>
      <w:pPr>
        <w:pStyle w:val="ListBullet"/>
        <w:spacing w:after="60"/>
      </w:pPr>
      <w:r>
        <w:t>Client money records: Classified as Restricted. Subject to RICS Client Money Handling rules.</w:t>
      </w:r>
    </w:p>
    <w:p>
      <w:pPr>
        <w:pStyle w:val="ListBullet"/>
        <w:spacing w:after="60"/>
      </w:pPr>
      <w:r>
        <w:t>Expert witness material: Classified as Restricted when subject to litigation privilege. Handle in accordance with court directions.</w:t>
      </w:r>
    </w:p>
    <w:p>
      <w:pPr>
        <w:pStyle w:val="Heading1"/>
      </w:pPr>
      <w:r>
        <w:t>12. Third-Party Security</w:t>
      </w:r>
    </w:p>
    <w:p>
      <w:pPr>
        <w:pStyle w:val="ListBullet"/>
        <w:spacing w:after="60"/>
      </w:pPr>
      <w:r>
        <w:t>Due diligence must be conducted on all third-party service providers who will access Company or client data. The level of due diligence should be proportionate to the sensitivity of the data involved.</w:t>
      </w:r>
    </w:p>
    <w:p>
      <w:pPr>
        <w:pStyle w:val="ListBullet"/>
        <w:spacing w:after="60"/>
      </w:pPr>
      <w:r>
        <w:t>Data processing agreements must be in place with all third parties who process personal data on the Company's behalf, as required by UK GDPR Article 28.</w:t>
      </w:r>
    </w:p>
    <w:p>
      <w:pPr>
        <w:pStyle w:val="ListBullet"/>
        <w:spacing w:after="60"/>
      </w:pPr>
      <w:r>
        <w:t>Third-party access must be reviewed annually and revoked when no longer required.</w:t>
      </w:r>
    </w:p>
    <w:p>
      <w:pPr>
        <w:pStyle w:val="ListBullet"/>
        <w:spacing w:after="60"/>
      </w:pPr>
      <w:r>
        <w:t>Third parties must comply with this policy or demonstrate equivalent security measures.</w:t>
      </w:r>
    </w:p>
    <w:p>
      <w:pPr>
        <w:pStyle w:val="Heading1"/>
      </w:pPr>
      <w:r>
        <w:t>13. Incident Reporting</w:t>
      </w:r>
    </w:p>
    <w:p>
      <w:pPr>
        <w:spacing w:after="120"/>
      </w:pPr>
      <w:r>
        <w:t>All security incidents, suspected incidents, vulnerabilities and near-misses must be reported immediately to a Director. This includes:</w:t>
      </w:r>
    </w:p>
    <w:p>
      <w:pPr>
        <w:pStyle w:val="ListBullet"/>
        <w:spacing w:after="60"/>
      </w:pPr>
      <w:r>
        <w:t>Suspected or actual unauthorised access to systems or data</w:t>
      </w:r>
    </w:p>
    <w:p>
      <w:pPr>
        <w:pStyle w:val="ListBullet"/>
        <w:spacing w:after="60"/>
      </w:pPr>
      <w:r>
        <w:t>Lost or stolen devices or documents</w:t>
      </w:r>
    </w:p>
    <w:p>
      <w:pPr>
        <w:pStyle w:val="ListBullet"/>
        <w:spacing w:after="60"/>
      </w:pPr>
      <w:r>
        <w:t>Phishing attempts (successful or otherwise)</w:t>
      </w:r>
    </w:p>
    <w:p>
      <w:pPr>
        <w:pStyle w:val="ListBullet"/>
        <w:spacing w:after="60"/>
      </w:pPr>
      <w:r>
        <w:t>Malware or ransomware infections</w:t>
      </w:r>
    </w:p>
    <w:p>
      <w:pPr>
        <w:pStyle w:val="ListBullet"/>
        <w:spacing w:after="60"/>
      </w:pPr>
      <w:r>
        <w:t>Misdirected emails containing sensitive data</w:t>
      </w:r>
    </w:p>
    <w:p>
      <w:pPr>
        <w:pStyle w:val="ListBullet"/>
        <w:spacing w:after="60"/>
      </w:pPr>
      <w:r>
        <w:t>Physical security breaches</w:t>
      </w:r>
    </w:p>
    <w:p>
      <w:pPr>
        <w:spacing w:after="120"/>
      </w:pPr>
      <w:r>
        <w:t>There will be no negative consequences for reporting incidents in good faith, even if the report turns out to be a false alarm. Failure to report a known incident is itself a breach of this policy.</w:t>
      </w:r>
    </w:p>
    <w:p>
      <w:pPr>
        <w:pStyle w:val="Heading1"/>
      </w:pPr>
      <w:r>
        <w:t>14. Training</w:t>
      </w:r>
    </w:p>
    <w:p>
      <w:pPr>
        <w:pStyle w:val="ListBullet"/>
        <w:spacing w:after="60"/>
      </w:pPr>
      <w:r>
        <w:t>All employees will receive information security awareness training during induction</w:t>
      </w:r>
    </w:p>
    <w:p>
      <w:pPr>
        <w:pStyle w:val="ListBullet"/>
        <w:spacing w:after="60"/>
      </w:pPr>
      <w:r>
        <w:t>Annual refresher training is mandatory for all staff</w:t>
      </w:r>
    </w:p>
    <w:p>
      <w:pPr>
        <w:pStyle w:val="ListBullet"/>
        <w:spacing w:after="60"/>
      </w:pPr>
      <w:r>
        <w:t>Additional training will be provided following significant security incidents or policy changes</w:t>
      </w:r>
    </w:p>
    <w:p>
      <w:pPr>
        <w:pStyle w:val="ListBullet"/>
        <w:spacing w:after="60"/>
      </w:pPr>
      <w:r>
        <w:t>Phishing simulation exercises may be conducted periodically</w:t>
      </w:r>
    </w:p>
    <w:p>
      <w:pPr>
        <w:pStyle w:val="Heading1"/>
      </w:pPr>
      <w:r>
        <w:t>15. Consequences of Breach</w:t>
      </w:r>
    </w:p>
    <w:p>
      <w:pPr>
        <w:spacing w:after="120"/>
      </w:pPr>
      <w:r>
        <w:t>Breach of this policy may result in disciplinary action, up to and including summary dismissal for gross misconduct. Serious breaches may also result in criminal prosecution under the Computer Misuse Act 1990, the Data Protection Act 2018, or other applicable legislation.</w:t>
      </w:r>
    </w:p>
    <w:p>
      <w:pPr>
        <w:pStyle w:val="Heading1"/>
      </w:pPr>
      <w:r>
        <w:t>16. Document Control</w:t>
      </w:r>
    </w:p>
    <w:tbl>
      <w:tblPr>
        <w:tblStyle w:val="TableGrid"/>
        <w:tblW w:type="auto" w:w="0"/>
        <w:jc w:val="center"/>
        <w:tblLook w:firstColumn="1" w:firstRow="1" w:lastColumn="0" w:lastRow="0" w:noHBand="0" w:noVBand="1" w:val="04A0"/>
      </w:tblPr>
      <w:tblGrid>
        <w:gridCol w:w="4703"/>
        <w:gridCol w:w="4703"/>
      </w:tblGrid>
      <w:tr>
        <w:tc>
          <w:tcPr>
            <w:tcW w:type="dxa" w:w="2835"/>
            <w:shd w:fill="1E40AF"/>
          </w:tcPr>
          <w:p>
            <w:pPr>
              <w:jc w:val="left"/>
            </w:pPr>
            <w:r>
              <w:rPr>
                <w:rFonts w:ascii="Calibri" w:hAnsi="Calibri"/>
                <w:b/>
                <w:color w:val="FFFFFF"/>
                <w:sz w:val="20"/>
              </w:rPr>
              <w:t>Field</w:t>
            </w:r>
          </w:p>
        </w:tc>
        <w:tc>
          <w:tcPr>
            <w:tcW w:type="dxa" w:w="6803"/>
            <w:shd w:fill="1E40AF"/>
          </w:tcPr>
          <w:p>
            <w:pPr>
              <w:jc w:val="left"/>
            </w:pPr>
            <w:r>
              <w:rPr>
                <w:rFonts w:ascii="Calibri" w:hAnsi="Calibri"/>
                <w:b/>
                <w:color w:val="FFFFFF"/>
                <w:sz w:val="20"/>
              </w:rPr>
              <w:t>Detail</w:t>
            </w:r>
          </w:p>
        </w:tc>
      </w:tr>
      <w:tr>
        <w:tc>
          <w:tcPr>
            <w:tcW w:type="dxa" w:w="2835"/>
          </w:tcPr>
          <w:p>
            <w:r>
              <w:rPr>
                <w:rFonts w:ascii="Calibri" w:hAnsi="Calibri"/>
                <w:color w:val="333333"/>
                <w:sz w:val="20"/>
              </w:rPr>
              <w:t>Document Title</w:t>
            </w:r>
          </w:p>
        </w:tc>
        <w:tc>
          <w:tcPr>
            <w:tcW w:type="dxa" w:w="6803"/>
          </w:tcPr>
          <w:p>
            <w:r>
              <w:rPr>
                <w:rFonts w:ascii="Calibri" w:hAnsi="Calibri"/>
                <w:color w:val="333333"/>
                <w:sz w:val="20"/>
              </w:rPr>
              <w:t>Information Security Policy</w:t>
            </w:r>
          </w:p>
        </w:tc>
      </w:tr>
      <w:tr>
        <w:tc>
          <w:tcPr>
            <w:tcW w:type="dxa" w:w="2835"/>
          </w:tcPr>
          <w:p>
            <w:r>
              <w:rPr>
                <w:rFonts w:ascii="Calibri" w:hAnsi="Calibri"/>
                <w:color w:val="333333"/>
                <w:sz w:val="20"/>
              </w:rPr>
              <w:t>Version</w:t>
            </w:r>
          </w:p>
        </w:tc>
        <w:tc>
          <w:tcPr>
            <w:tcW w:type="dxa" w:w="6803"/>
          </w:tcPr>
          <w:p>
            <w:r>
              <w:rPr>
                <w:rFonts w:ascii="Calibri" w:hAnsi="Calibri"/>
                <w:color w:val="333333"/>
                <w:sz w:val="20"/>
              </w:rPr>
              <w:t>1.0</w:t>
            </w:r>
          </w:p>
        </w:tc>
      </w:tr>
      <w:tr>
        <w:tc>
          <w:tcPr>
            <w:tcW w:type="dxa" w:w="2835"/>
          </w:tcPr>
          <w:p>
            <w:r>
              <w:rPr>
                <w:rFonts w:ascii="Calibri" w:hAnsi="Calibri"/>
                <w:color w:val="333333"/>
                <w:sz w:val="20"/>
              </w:rPr>
              <w:t>Effective Date</w:t>
            </w:r>
          </w:p>
        </w:tc>
        <w:tc>
          <w:tcPr>
            <w:tcW w:type="dxa" w:w="6803"/>
          </w:tcPr>
          <w:p>
            <w:r>
              <w:rPr>
                <w:rFonts w:ascii="Calibri" w:hAnsi="Calibri"/>
                <w:color w:val="333333"/>
                <w:sz w:val="20"/>
              </w:rPr>
              <w:t>February 2026</w:t>
            </w:r>
          </w:p>
        </w:tc>
      </w:tr>
      <w:tr>
        <w:tc>
          <w:tcPr>
            <w:tcW w:type="dxa" w:w="2835"/>
          </w:tcPr>
          <w:p>
            <w:r>
              <w:rPr>
                <w:rFonts w:ascii="Calibri" w:hAnsi="Calibri"/>
                <w:color w:val="333333"/>
                <w:sz w:val="20"/>
              </w:rPr>
              <w:t>Next Review Date</w:t>
            </w:r>
          </w:p>
        </w:tc>
        <w:tc>
          <w:tcPr>
            <w:tcW w:type="dxa" w:w="6803"/>
          </w:tcPr>
          <w:p>
            <w:r>
              <w:rPr>
                <w:rFonts w:ascii="Calibri" w:hAnsi="Calibri"/>
                <w:color w:val="333333"/>
                <w:sz w:val="20"/>
              </w:rPr>
              <w:t>February 2027</w:t>
            </w:r>
          </w:p>
        </w:tc>
      </w:tr>
      <w:tr>
        <w:tc>
          <w:tcPr>
            <w:tcW w:type="dxa" w:w="2835"/>
          </w:tcPr>
          <w:p>
            <w:r>
              <w:rPr>
                <w:rFonts w:ascii="Calibri" w:hAnsi="Calibri"/>
                <w:color w:val="333333"/>
                <w:sz w:val="20"/>
              </w:rPr>
              <w:t>Owner</w:t>
            </w:r>
          </w:p>
        </w:tc>
        <w:tc>
          <w:tcPr>
            <w:tcW w:type="dxa" w:w="6803"/>
          </w:tcPr>
          <w:p>
            <w:r>
              <w:rPr>
                <w:rFonts w:ascii="Calibri" w:hAnsi="Calibri"/>
                <w:color w:val="333333"/>
                <w:sz w:val="20"/>
              </w:rPr>
              <w:t>Matt Fitzgerald MRICS, Managing Director</w:t>
            </w:r>
          </w:p>
        </w:tc>
      </w:tr>
      <w:tr>
        <w:tc>
          <w:tcPr>
            <w:tcW w:type="dxa" w:w="2835"/>
          </w:tcPr>
          <w:p>
            <w:r>
              <w:rPr>
                <w:rFonts w:ascii="Calibri" w:hAnsi="Calibri"/>
                <w:color w:val="333333"/>
                <w:sz w:val="20"/>
              </w:rPr>
              <w:t>Approved By</w:t>
            </w:r>
          </w:p>
        </w:tc>
        <w:tc>
          <w:tcPr>
            <w:tcW w:type="dxa" w:w="6803"/>
          </w:tcPr>
          <w:p>
            <w:r>
              <w:rPr>
                <w:rFonts w:ascii="Calibri" w:hAnsi="Calibri"/>
                <w:color w:val="333333"/>
                <w:sz w:val="20"/>
              </w:rPr>
              <w:t>Matt Fitzgerald MRICS / Jamie Smyth MRICS</w:t>
            </w:r>
          </w:p>
        </w:tc>
      </w:tr>
      <w:tr>
        <w:tc>
          <w:tcPr>
            <w:tcW w:type="dxa" w:w="2835"/>
          </w:tcPr>
          <w:p>
            <w:r>
              <w:rPr>
                <w:rFonts w:ascii="Calibri" w:hAnsi="Calibri"/>
                <w:color w:val="333333"/>
                <w:sz w:val="20"/>
              </w:rPr>
              <w:t>Classification</w:t>
            </w:r>
          </w:p>
        </w:tc>
        <w:tc>
          <w:tcPr>
            <w:tcW w:type="dxa" w:w="6803"/>
          </w:tcPr>
          <w:p>
            <w:r>
              <w:rPr>
                <w:rFonts w:ascii="Calibri" w:hAnsi="Calibri"/>
                <w:color w:val="333333"/>
                <w:sz w:val="20"/>
              </w:rPr>
              <w:t>Confidential — Internal</w:t>
            </w:r>
          </w:p>
        </w:tc>
      </w:tr>
    </w:tbl>
    <w:p/>
    <w:p>
      <w:pPr>
        <w:spacing w:after="120"/>
      </w:pPr>
      <w:r>
        <w:t>Signed:</w:t>
      </w:r>
    </w:p>
    <w:p>
      <w:pPr>
        <w:spacing w:after="120"/>
      </w:pPr>
    </w:p>
    <w:p>
      <w:pPr>
        <w:spacing w:after="120"/>
      </w:pPr>
      <w:r>
        <w:t>____________________________________</w:t>
      </w:r>
    </w:p>
    <w:p>
      <w:pPr>
        <w:spacing w:after="120"/>
      </w:pPr>
      <w:r>
        <w:t>Matt Fitzgerald MRICS</w:t>
      </w:r>
    </w:p>
    <w:p>
      <w:pPr>
        <w:spacing w:after="120"/>
      </w:pPr>
      <w:r>
        <w:t>Managing Director, Hillway Holdings Ltd</w:t>
      </w:r>
    </w:p>
    <w:p>
      <w:pPr>
        <w:spacing w:after="120"/>
      </w:pPr>
      <w:r>
        <w:t>Date: ___________________</w:t>
      </w:r>
    </w:p>
    <w:sectPr w:rsidR="00FC693F" w:rsidRPr="0006063C" w:rsidSect="00034616">
      <w:headerReference w:type="default" r:id="rId10"/>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4"/>
      </w:rPr>
      <w:t>Hillway Holdings Ltd  |  Cubo, 38 Carver Street, Sheffield S1 4FS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914400" cy="605790"/>
          <wp:docPr id="1" name="Picture 1"/>
          <wp:cNvGraphicFramePr>
            <a:graphicFrameLocks noChangeAspect="1"/>
          </wp:cNvGraphicFramePr>
          <a:graphic>
            <a:graphicData uri="http://schemas.openxmlformats.org/drawingml/2006/picture">
              <pic:pic>
                <pic:nvPicPr>
                  <pic:cNvPr id="0" name="hillway-logo.png"/>
                  <pic:cNvPicPr/>
                </pic:nvPicPr>
                <pic:blipFill>
                  <a:blip r:embed="rId1"/>
                  <a:stretch>
                    <a:fillRect/>
                  </a:stretch>
                </pic:blipFill>
                <pic:spPr>
                  <a:xfrm>
                    <a:off x="0" y="0"/>
                    <a:ext cx="914400" cy="60579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0F172A"/>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E40A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40AF"/>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