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Remote and Hybrid</w:t>
        <w:br/>
        <w:t>Working Policy</w:t>
      </w:r>
    </w:p>
    <w:p>
      <w:pPr>
        <w:jc w:val="center"/>
      </w:pPr>
      <w:r>
        <w:rPr>
          <w:rFonts w:ascii="Calibri" w:hAnsi="Calibri"/>
          <w:color w:val="64748B"/>
          <w:sz w:val="28"/>
        </w:rPr>
        <w:t>Hillway Holdings Ltd</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the framework for remote and hybrid working at Hillway Holdings Ltd ("the Company"). It is designed to support flexible working arrangements while maintaining productivity, client service standards, team cohesion and information security.</w:t>
      </w:r>
    </w:p>
    <w:p>
      <w:pPr>
        <w:spacing w:after="120"/>
      </w:pPr>
      <w:r>
        <w:t>This policy applies to all employees of the Company. It should be read in conjunction with the Company's Information Security Policy, Health and Safety Policy, and individual employment contracts.</w:t>
      </w:r>
    </w:p>
    <w:p>
      <w:pPr>
        <w:pStyle w:val="Heading1"/>
      </w:pPr>
      <w:r>
        <w:t>2. Eligibility</w:t>
      </w:r>
    </w:p>
    <w:p>
      <w:pPr>
        <w:spacing w:after="120"/>
      </w:pPr>
      <w:r>
        <w:t>All employees may request a remote or hybrid working arrangement. The Company recognises the day-one right to request flexible working under the Employment Relations (Flexible Working) Act 2023.</w:t>
      </w:r>
    </w:p>
    <w:p>
      <w:pPr>
        <w:pStyle w:val="ListBullet"/>
        <w:spacing w:after="60"/>
      </w:pPr>
      <w:r>
        <w:t>Some roles may require regular office or site presence due to the nature of the work (e.g. property inspections, client meetings, team supervision)</w:t>
      </w:r>
    </w:p>
    <w:p>
      <w:pPr>
        <w:pStyle w:val="ListBullet"/>
        <w:spacing w:after="60"/>
      </w:pPr>
      <w:r>
        <w:t>Eligibility will be assessed on a case-by-case basis having regard to the role requirements, team needs and business operations</w:t>
      </w:r>
    </w:p>
    <w:p>
      <w:pPr>
        <w:pStyle w:val="ListBullet"/>
        <w:spacing w:after="60"/>
      </w:pPr>
      <w:r>
        <w:t>Apprentices are expected to be primarily office-based during their probationary period to support their learning and development. Hybrid arrangements may be agreed with their line manager after successful completion of probation.</w:t>
      </w:r>
    </w:p>
    <w:p>
      <w:pPr>
        <w:pStyle w:val="ListBullet"/>
        <w:spacing w:after="60"/>
      </w:pPr>
      <w:r>
        <w:t>The Company will not unreasonably refuse a request for flexible working and will deal with requests in accordance with the statutory framework</w:t>
      </w:r>
    </w:p>
    <w:p>
      <w:pPr>
        <w:pStyle w:val="Heading1"/>
      </w:pPr>
      <w:r>
        <w:t>3. Types of Working Arrangement</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E40AF"/>
          </w:tcPr>
          <w:p>
            <w:pPr>
              <w:jc w:val="left"/>
            </w:pPr>
            <w:r>
              <w:rPr>
                <w:rFonts w:ascii="Calibri" w:hAnsi="Calibri"/>
                <w:b/>
                <w:color w:val="FFFFFF"/>
                <w:sz w:val="20"/>
              </w:rPr>
              <w:t>Arrangement</w:t>
            </w:r>
          </w:p>
        </w:tc>
        <w:tc>
          <w:tcPr>
            <w:tcW w:type="dxa" w:w="4535"/>
            <w:shd w:fill="1E40AF"/>
          </w:tcPr>
          <w:p>
            <w:pPr>
              <w:jc w:val="left"/>
            </w:pPr>
            <w:r>
              <w:rPr>
                <w:rFonts w:ascii="Calibri" w:hAnsi="Calibri"/>
                <w:b/>
                <w:color w:val="FFFFFF"/>
                <w:sz w:val="20"/>
              </w:rPr>
              <w:t>Description</w:t>
            </w:r>
          </w:p>
        </w:tc>
        <w:tc>
          <w:tcPr>
            <w:tcW w:type="dxa" w:w="3402"/>
            <w:shd w:fill="1E40AF"/>
          </w:tcPr>
          <w:p>
            <w:pPr>
              <w:jc w:val="left"/>
            </w:pPr>
            <w:r>
              <w:rPr>
                <w:rFonts w:ascii="Calibri" w:hAnsi="Calibri"/>
                <w:b/>
                <w:color w:val="FFFFFF"/>
                <w:sz w:val="20"/>
              </w:rPr>
              <w:t>Typical Application</w:t>
            </w:r>
          </w:p>
        </w:tc>
      </w:tr>
      <w:tr>
        <w:tc>
          <w:tcPr>
            <w:tcW w:type="dxa" w:w="1701"/>
          </w:tcPr>
          <w:p>
            <w:r>
              <w:rPr>
                <w:rFonts w:ascii="Calibri" w:hAnsi="Calibri"/>
                <w:color w:val="333333"/>
                <w:sz w:val="20"/>
              </w:rPr>
              <w:t>Fully Remote</w:t>
            </w:r>
          </w:p>
        </w:tc>
        <w:tc>
          <w:tcPr>
            <w:tcW w:type="dxa" w:w="4535"/>
          </w:tcPr>
          <w:p>
            <w:r>
              <w:rPr>
                <w:rFonts w:ascii="Calibri" w:hAnsi="Calibri"/>
                <w:color w:val="333333"/>
                <w:sz w:val="20"/>
              </w:rPr>
              <w:t>Working from home or another approved location on all working days. Exceptional, by specific agreement with a Director.</w:t>
            </w:r>
          </w:p>
        </w:tc>
        <w:tc>
          <w:tcPr>
            <w:tcW w:type="dxa" w:w="3402"/>
          </w:tcPr>
          <w:p>
            <w:r>
              <w:rPr>
                <w:rFonts w:ascii="Calibri" w:hAnsi="Calibri"/>
                <w:color w:val="333333"/>
                <w:sz w:val="20"/>
              </w:rPr>
              <w:t>Roles with no regular client-facing or site requirements; may be agreed for experienced staff</w:t>
            </w:r>
          </w:p>
        </w:tc>
      </w:tr>
      <w:tr>
        <w:tc>
          <w:tcPr>
            <w:tcW w:type="dxa" w:w="1701"/>
          </w:tcPr>
          <w:p>
            <w:r>
              <w:rPr>
                <w:rFonts w:ascii="Calibri" w:hAnsi="Calibri"/>
                <w:color w:val="333333"/>
                <w:sz w:val="20"/>
              </w:rPr>
              <w:t>Hybrid</w:t>
            </w:r>
          </w:p>
        </w:tc>
        <w:tc>
          <w:tcPr>
            <w:tcW w:type="dxa" w:w="4535"/>
          </w:tcPr>
          <w:p>
            <w:r>
              <w:rPr>
                <w:rFonts w:ascii="Calibri" w:hAnsi="Calibri"/>
                <w:color w:val="333333"/>
                <w:sz w:val="20"/>
              </w:rPr>
              <w:t>A mix of office-based and remote working. The default arrangement for most roles.</w:t>
            </w:r>
          </w:p>
        </w:tc>
        <w:tc>
          <w:tcPr>
            <w:tcW w:type="dxa" w:w="3402"/>
          </w:tcPr>
          <w:p>
            <w:r>
              <w:rPr>
                <w:rFonts w:ascii="Calibri" w:hAnsi="Calibri"/>
                <w:color w:val="333333"/>
                <w:sz w:val="20"/>
              </w:rPr>
              <w:t>Minimum 2 office days per week; remaining days may be worked from home</w:t>
            </w:r>
          </w:p>
        </w:tc>
      </w:tr>
      <w:tr>
        <w:tc>
          <w:tcPr>
            <w:tcW w:type="dxa" w:w="1701"/>
          </w:tcPr>
          <w:p>
            <w:r>
              <w:rPr>
                <w:rFonts w:ascii="Calibri" w:hAnsi="Calibri"/>
                <w:color w:val="333333"/>
                <w:sz w:val="20"/>
              </w:rPr>
              <w:t>Office-Based</w:t>
            </w:r>
          </w:p>
        </w:tc>
        <w:tc>
          <w:tcPr>
            <w:tcW w:type="dxa" w:w="4535"/>
          </w:tcPr>
          <w:p>
            <w:r>
              <w:rPr>
                <w:rFonts w:ascii="Calibri" w:hAnsi="Calibri"/>
                <w:color w:val="333333"/>
                <w:sz w:val="20"/>
              </w:rPr>
              <w:t>Attending the office on all working days.</w:t>
            </w:r>
          </w:p>
        </w:tc>
        <w:tc>
          <w:tcPr>
            <w:tcW w:type="dxa" w:w="3402"/>
          </w:tcPr>
          <w:p>
            <w:r>
              <w:rPr>
                <w:rFonts w:ascii="Calibri" w:hAnsi="Calibri"/>
                <w:color w:val="333333"/>
                <w:sz w:val="20"/>
              </w:rPr>
              <w:t>Roles requiring regular site presence, new starters during induction, or by personal preference</w:t>
            </w:r>
          </w:p>
        </w:tc>
      </w:tr>
    </w:tbl>
    <w:p/>
    <w:p>
      <w:pPr>
        <w:pStyle w:val="Heading1"/>
      </w:pPr>
      <w:r>
        <w:t>4. Application Process</w:t>
      </w:r>
    </w:p>
    <w:p>
      <w:pPr>
        <w:pStyle w:val="Heading2"/>
      </w:pPr>
      <w:r>
        <w:t>4.1 Formal Request</w:t>
      </w:r>
    </w:p>
    <w:p>
      <w:pPr>
        <w:spacing w:after="120"/>
      </w:pPr>
      <w:r>
        <w:t>Employees wishing to change their working arrangement should submit a written request to their line manager (or a Director). The request should include the proposed arrangement, the proposed start date, how the employee will maintain their responsibilities, and any impact on colleagues or clients.</w:t>
      </w:r>
    </w:p>
    <w:p>
      <w:pPr>
        <w:pStyle w:val="Heading2"/>
      </w:pPr>
      <w:r>
        <w:t>4.2 Consideration</w:t>
      </w:r>
    </w:p>
    <w:p>
      <w:pPr>
        <w:spacing w:after="120"/>
      </w:pPr>
      <w:r>
        <w:t>The Company will arrange a meeting to discuss the request within 2 months of receiving it. A decision will be communicated in writing within 2 months of the date the request was made, including reasons if the request is refused.</w:t>
      </w:r>
    </w:p>
    <w:p>
      <w:pPr>
        <w:pStyle w:val="Heading2"/>
      </w:pPr>
      <w:r>
        <w:t>4.3 Grounds for Refusal</w:t>
      </w:r>
    </w:p>
    <w:p>
      <w:pPr>
        <w:spacing w:after="120"/>
      </w:pPr>
      <w:r>
        <w:t>The Company may refuse a request on one or more of the following statutory grounds:</w:t>
      </w:r>
    </w:p>
    <w:p>
      <w:pPr>
        <w:pStyle w:val="ListBullet"/>
        <w:spacing w:after="60"/>
      </w:pPr>
      <w:r>
        <w:t>The burden of additional costs</w:t>
      </w:r>
    </w:p>
    <w:p>
      <w:pPr>
        <w:pStyle w:val="ListBullet"/>
        <w:spacing w:after="60"/>
      </w:pPr>
      <w:r>
        <w:t>A detrimental effect on ability to meet customer demand</w:t>
      </w:r>
    </w:p>
    <w:p>
      <w:pPr>
        <w:pStyle w:val="ListBullet"/>
        <w:spacing w:after="60"/>
      </w:pPr>
      <w:r>
        <w:t>An inability to reorganise work among existing staff</w:t>
      </w:r>
    </w:p>
    <w:p>
      <w:pPr>
        <w:pStyle w:val="ListBullet"/>
        <w:spacing w:after="60"/>
      </w:pPr>
      <w:r>
        <w:t>An inability to recruit additional staff</w:t>
      </w:r>
    </w:p>
    <w:p>
      <w:pPr>
        <w:pStyle w:val="ListBullet"/>
        <w:spacing w:after="60"/>
      </w:pPr>
      <w:r>
        <w:t>A detrimental impact on quality or performance</w:t>
      </w:r>
    </w:p>
    <w:p>
      <w:pPr>
        <w:pStyle w:val="ListBullet"/>
        <w:spacing w:after="60"/>
      </w:pPr>
      <w:r>
        <w:t>Insufficiency of work during proposed working periods</w:t>
      </w:r>
    </w:p>
    <w:p>
      <w:pPr>
        <w:pStyle w:val="ListBullet"/>
        <w:spacing w:after="60"/>
      </w:pPr>
      <w:r>
        <w:t>Planned structural changes</w:t>
      </w:r>
    </w:p>
    <w:p>
      <w:pPr>
        <w:pStyle w:val="Heading2"/>
      </w:pPr>
      <w:r>
        <w:t>4.4 Appeal</w:t>
      </w:r>
    </w:p>
    <w:p>
      <w:pPr>
        <w:spacing w:after="120"/>
      </w:pPr>
      <w:r>
        <w:t>Employees may appeal a refusal in writing within 14 days of receiving the decision. Appeals will be heard by a Director who was not involved in the original decision (where practicable given the Company's size).</w:t>
      </w:r>
    </w:p>
    <w:p>
      <w:pPr>
        <w:pStyle w:val="Heading1"/>
      </w:pPr>
      <w:r>
        <w:t>5. Working Arrangements</w:t>
      </w:r>
    </w:p>
    <w:p>
      <w:pPr>
        <w:pStyle w:val="Heading2"/>
      </w:pPr>
      <w:r>
        <w:t>5.1 Core Hours</w:t>
      </w:r>
    </w:p>
    <w:p>
      <w:pPr>
        <w:spacing w:after="120"/>
      </w:pPr>
      <w:r>
        <w:t>All employees working remotely must be available during core hours of 10:00 to 15:00, Monday to Friday. During core hours, employees must be contactable via Slack or Google Meet and responsive to messages within a reasonable time.</w:t>
      </w:r>
    </w:p>
    <w:p>
      <w:pPr>
        <w:pStyle w:val="Heading2"/>
      </w:pPr>
      <w:r>
        <w:t>5.2 Flexible Hours</w:t>
      </w:r>
    </w:p>
    <w:p>
      <w:pPr>
        <w:spacing w:after="120"/>
      </w:pPr>
      <w:r>
        <w:t>Subject to meeting their contracted hours and core hours requirements, employees may arrange their start and finish times flexibly. For example, an employee contracted for 37.5 hours per week might work 08:00-16:00 or 09:30-17:30.</w:t>
      </w:r>
    </w:p>
    <w:p>
      <w:pPr>
        <w:pStyle w:val="Heading2"/>
      </w:pPr>
      <w:r>
        <w:t>5.3 Office Days</w:t>
      </w:r>
    </w:p>
    <w:p>
      <w:pPr>
        <w:spacing w:after="120"/>
      </w:pPr>
      <w:r>
        <w:t>Hybrid workers must attend the office for a minimum of 2 days per week, to be agreed with their line manager. Team days should be coordinated so that teams are in the office on the same days where practicable. Client meeting days are preferably office-based.</w:t>
      </w:r>
    </w:p>
    <w:p>
      <w:pPr>
        <w:pStyle w:val="Heading1"/>
      </w:pPr>
      <w:r>
        <w:t>6. Home Workspace Requirements</w:t>
      </w:r>
    </w:p>
    <w:p>
      <w:pPr>
        <w:spacing w:after="120"/>
      </w:pPr>
      <w:r>
        <w:t>Employees working from home are responsible for maintaining a suitable workspace. The Company will provide a Display Screen Equipment (DSE) self-assessment checklist which must be completed before commencing remote work and reviewed annually.</w:t>
      </w:r>
    </w:p>
    <w:p>
      <w:pPr>
        <w:pStyle w:val="ListBullet"/>
        <w:spacing w:after="60"/>
      </w:pPr>
      <w:r>
        <w:t>A suitable desk and chair that supports good posture</w:t>
      </w:r>
    </w:p>
    <w:p>
      <w:pPr>
        <w:pStyle w:val="ListBullet"/>
        <w:spacing w:after="60"/>
      </w:pPr>
      <w:r>
        <w:t>Adequate lighting, avoiding screen glare and reflections</w:t>
      </w:r>
    </w:p>
    <w:p>
      <w:pPr>
        <w:pStyle w:val="ListBullet"/>
        <w:spacing w:after="60"/>
      </w:pPr>
      <w:r>
        <w:t>Adequate ventilation and temperature control</w:t>
      </w:r>
    </w:p>
    <w:p>
      <w:pPr>
        <w:pStyle w:val="ListBullet"/>
        <w:spacing w:after="60"/>
      </w:pPr>
      <w:r>
        <w:t>A quiet environment suitable for professional work, including client calls</w:t>
      </w:r>
    </w:p>
    <w:p>
      <w:pPr>
        <w:pStyle w:val="ListBullet"/>
        <w:spacing w:after="60"/>
      </w:pPr>
      <w:r>
        <w:t>A reliable broadband connection capable of supporting video calls and cloud applications</w:t>
      </w:r>
    </w:p>
    <w:p>
      <w:pPr>
        <w:spacing w:after="120"/>
      </w:pPr>
      <w:r>
        <w:t>The Company may, at its discretion, provide an external monitor, keyboard and mouse to support ergonomic working. This equipment remains the property of the Company and must be returned on request or on termination of employment.</w:t>
      </w:r>
    </w:p>
    <w:p>
      <w:pPr>
        <w:pStyle w:val="Heading1"/>
      </w:pPr>
      <w:r>
        <w:t>7. Equipment and Technology</w:t>
      </w:r>
    </w:p>
    <w:p>
      <w:pPr>
        <w:pStyle w:val="ListBullet"/>
        <w:spacing w:after="60"/>
      </w:pPr>
      <w:r>
        <w:t>A Company laptop will be provided to all employees for both office and remote working</w:t>
      </w:r>
    </w:p>
    <w:p>
      <w:pPr>
        <w:pStyle w:val="ListBullet"/>
        <w:spacing w:after="60"/>
      </w:pPr>
      <w:r>
        <w:t>The laptop must comply with the Company's Information Security Policy (full disk encryption, password protection, up-to-date software)</w:t>
      </w:r>
    </w:p>
    <w:p>
      <w:pPr>
        <w:pStyle w:val="ListBullet"/>
        <w:spacing w:after="60"/>
      </w:pPr>
      <w:r>
        <w:t>A secure connection is required when accessing Company systems remotely (see Information Security Policy)</w:t>
      </w:r>
    </w:p>
    <w:p>
      <w:pPr>
        <w:pStyle w:val="ListBullet"/>
        <w:spacing w:after="60"/>
      </w:pPr>
      <w:r>
        <w:t>IT support is available remotely during normal working hours via Slack or email</w:t>
      </w:r>
    </w:p>
    <w:p>
      <w:pPr>
        <w:pStyle w:val="ListBullet"/>
        <w:spacing w:after="60"/>
      </w:pPr>
      <w:r>
        <w:t>All Company equipment must be returned promptly on request or on termination of employment</w:t>
      </w:r>
    </w:p>
    <w:p>
      <w:pPr>
        <w:pStyle w:val="ListBullet"/>
        <w:spacing w:after="60"/>
      </w:pPr>
      <w:r>
        <w:t>Employees must not install unapproved software on Company devices</w:t>
      </w:r>
    </w:p>
    <w:p>
      <w:pPr>
        <w:pStyle w:val="Heading1"/>
      </w:pPr>
      <w:r>
        <w:t>8. Communication and Collaboration</w:t>
      </w:r>
    </w:p>
    <w:p>
      <w:pPr>
        <w:pStyle w:val="Heading2"/>
      </w:pPr>
      <w:r>
        <w:t>8.1 Tools</w:t>
      </w:r>
    </w:p>
    <w:p>
      <w:pPr>
        <w:pStyle w:val="ListBullet"/>
        <w:spacing w:after="60"/>
      </w:pPr>
      <w:r>
        <w:t>Slack: Primary tool for day-to-day communication, quick questions and informal team interaction</w:t>
      </w:r>
    </w:p>
    <w:p>
      <w:pPr>
        <w:pStyle w:val="ListBullet"/>
        <w:spacing w:after="60"/>
      </w:pPr>
      <w:r>
        <w:t>Google Meet: For scheduled meetings, client calls and video conferences</w:t>
      </w:r>
    </w:p>
    <w:p>
      <w:pPr>
        <w:pStyle w:val="ListBullet"/>
        <w:spacing w:after="60"/>
      </w:pPr>
      <w:r>
        <w:t>Google Workspace: For document collaboration, calendar management and email</w:t>
      </w:r>
    </w:p>
    <w:p>
      <w:pPr>
        <w:pStyle w:val="Heading2"/>
      </w:pPr>
      <w:r>
        <w:t>8.2 Expectations</w:t>
      </w:r>
    </w:p>
    <w:p>
      <w:pPr>
        <w:pStyle w:val="ListBullet"/>
        <w:spacing w:after="60"/>
      </w:pPr>
      <w:r>
        <w:t>Respond to Slack messages within a reasonable time during core hours (generally within 30 minutes for direct messages)</w:t>
      </w:r>
    </w:p>
    <w:p>
      <w:pPr>
        <w:pStyle w:val="ListBullet"/>
        <w:spacing w:after="60"/>
      </w:pPr>
      <w:r>
        <w:t>Camera on for client-facing meetings. Camera on is recommended (but not mandatory) for internal meetings</w:t>
      </w:r>
    </w:p>
    <w:p>
      <w:pPr>
        <w:pStyle w:val="ListBullet"/>
        <w:spacing w:after="60"/>
      </w:pPr>
      <w:r>
        <w:t>Keep your Slack status updated to reflect your availability (e.g. in a meeting, away from desk, on site)</w:t>
      </w:r>
    </w:p>
    <w:p>
      <w:pPr>
        <w:pStyle w:val="ListBullet"/>
        <w:spacing w:after="60"/>
      </w:pPr>
      <w:r>
        <w:t>Notify your team in advance if you will be unavailable during core hours (e.g. for a site visit or appointment)</w:t>
      </w:r>
    </w:p>
    <w:p>
      <w:pPr>
        <w:pStyle w:val="Heading1"/>
      </w:pPr>
      <w:r>
        <w:t>9. Data Security When Working Remotely</w:t>
      </w:r>
    </w:p>
    <w:p>
      <w:pPr>
        <w:spacing w:after="120"/>
      </w:pPr>
      <w:r>
        <w:t>All provisions of the Company's Information Security Policy apply equally when working remotely. In addition:</w:t>
      </w:r>
    </w:p>
    <w:p>
      <w:pPr>
        <w:pStyle w:val="ListBullet"/>
        <w:spacing w:after="60"/>
      </w:pPr>
      <w:r>
        <w:t>Do not print Confidential or Restricted documents at home without prior approval from a Director</w:t>
      </w:r>
    </w:p>
    <w:p>
      <w:pPr>
        <w:pStyle w:val="ListBullet"/>
        <w:spacing w:after="60"/>
      </w:pPr>
      <w:r>
        <w:t>Ensure screen privacy when working in public or shared spaces (e.g. co-working spaces, cafes). Use a privacy screen filter if necessary.</w:t>
      </w:r>
    </w:p>
    <w:p>
      <w:pPr>
        <w:pStyle w:val="ListBullet"/>
        <w:spacing w:after="60"/>
      </w:pPr>
      <w:r>
        <w:t>Any physical documents containing Company or client data must be stored securely when not in use (locked drawer or cabinet)</w:t>
      </w:r>
    </w:p>
    <w:p>
      <w:pPr>
        <w:pStyle w:val="ListBullet"/>
        <w:spacing w:after="60"/>
      </w:pPr>
      <w:r>
        <w:t>Company devices must be locked when unattended, even at home</w:t>
      </w:r>
    </w:p>
    <w:p>
      <w:pPr>
        <w:pStyle w:val="ListBullet"/>
        <w:spacing w:after="60"/>
      </w:pPr>
      <w:r>
        <w:t>Household members and visitors must not have access to Company data or systems</w:t>
      </w:r>
    </w:p>
    <w:p>
      <w:pPr>
        <w:pStyle w:val="ListBullet"/>
        <w:spacing w:after="60"/>
      </w:pPr>
      <w:r>
        <w:t>Confidential calls (including client calls) should be taken in a private space where they cannot be overheard</w:t>
      </w:r>
    </w:p>
    <w:p>
      <w:pPr>
        <w:pStyle w:val="Heading1"/>
      </w:pPr>
      <w:r>
        <w:t>10. Health and Safety</w:t>
      </w:r>
    </w:p>
    <w:p>
      <w:pPr>
        <w:spacing w:after="120"/>
      </w:pPr>
      <w:r>
        <w:t>The Company's duty of care under the Health and Safety at Work etc. Act 1974 extends to employees working from home. Both the Company and the employee have responsibilities:</w:t>
      </w:r>
    </w:p>
    <w:p>
      <w:pPr>
        <w:pStyle w:val="Heading2"/>
      </w:pPr>
      <w:r>
        <w:t>10.1 Company Responsibilities</w:t>
      </w:r>
    </w:p>
    <w:p>
      <w:pPr>
        <w:pStyle w:val="ListBullet"/>
        <w:spacing w:after="60"/>
      </w:pPr>
      <w:r>
        <w:t>Provide a DSE self-assessment checklist and guidance</w:t>
      </w:r>
    </w:p>
    <w:p>
      <w:pPr>
        <w:pStyle w:val="ListBullet"/>
        <w:spacing w:after="60"/>
      </w:pPr>
      <w:r>
        <w:t>Provide appropriate equipment to support ergonomic working</w:t>
      </w:r>
    </w:p>
    <w:p>
      <w:pPr>
        <w:pStyle w:val="ListBullet"/>
        <w:spacing w:after="60"/>
      </w:pPr>
      <w:r>
        <w:t>Ensure employees are aware of their right to report health and safety concerns</w:t>
      </w:r>
    </w:p>
    <w:p>
      <w:pPr>
        <w:pStyle w:val="ListBullet"/>
        <w:spacing w:after="60"/>
      </w:pPr>
      <w:r>
        <w:t>Take reasonable steps to address identified risks</w:t>
      </w:r>
    </w:p>
    <w:p>
      <w:pPr>
        <w:pStyle w:val="Heading2"/>
      </w:pPr>
      <w:r>
        <w:t>10.2 Employee Responsibilities</w:t>
      </w:r>
    </w:p>
    <w:p>
      <w:pPr>
        <w:pStyle w:val="ListBullet"/>
        <w:spacing w:after="60"/>
      </w:pPr>
      <w:r>
        <w:t>Complete the DSE self-assessment before commencing remote work and annually thereafter</w:t>
      </w:r>
    </w:p>
    <w:p>
      <w:pPr>
        <w:pStyle w:val="ListBullet"/>
        <w:spacing w:after="60"/>
      </w:pPr>
      <w:r>
        <w:t>Report any work-related injuries, discomfort or health concerns to their line manager</w:t>
      </w:r>
    </w:p>
    <w:p>
      <w:pPr>
        <w:pStyle w:val="ListBullet"/>
        <w:spacing w:after="60"/>
      </w:pPr>
      <w:r>
        <w:t>Take regular breaks from screen work (at least 5-10 minutes away from the screen every hour)</w:t>
      </w:r>
    </w:p>
    <w:p>
      <w:pPr>
        <w:pStyle w:val="ListBullet"/>
        <w:spacing w:after="60"/>
      </w:pPr>
      <w:r>
        <w:t>Maintain their home workspace in a safe condition, free from trip hazards and other risks</w:t>
      </w:r>
    </w:p>
    <w:p>
      <w:pPr>
        <w:pStyle w:val="Heading2"/>
      </w:pPr>
      <w:r>
        <w:t>10.3 Mental Health and Wellbeing</w:t>
      </w:r>
    </w:p>
    <w:p>
      <w:pPr>
        <w:spacing w:after="120"/>
      </w:pPr>
      <w:r>
        <w:t>The Company recognises that remote working can contribute to feelings of isolation. Employees are encouraged to:</w:t>
      </w:r>
    </w:p>
    <w:p>
      <w:pPr>
        <w:pStyle w:val="ListBullet"/>
        <w:spacing w:after="60"/>
      </w:pPr>
      <w:r>
        <w:t>Attend office days to maintain social connections with colleagues</w:t>
      </w:r>
    </w:p>
    <w:p>
      <w:pPr>
        <w:pStyle w:val="ListBullet"/>
        <w:spacing w:after="60"/>
      </w:pPr>
      <w:r>
        <w:t>Communicate openly with their line manager about any wellbeing concerns</w:t>
      </w:r>
    </w:p>
    <w:p>
      <w:pPr>
        <w:pStyle w:val="ListBullet"/>
        <w:spacing w:after="60"/>
      </w:pPr>
      <w:r>
        <w:t>Maintain clear boundaries between work and personal time</w:t>
      </w:r>
    </w:p>
    <w:p>
      <w:pPr>
        <w:pStyle w:val="ListBullet"/>
        <w:spacing w:after="60"/>
      </w:pPr>
      <w:r>
        <w:t>Take advantage of any employee assistance or wellbeing support offered by the Company</w:t>
      </w:r>
    </w:p>
    <w:p>
      <w:pPr>
        <w:pStyle w:val="Heading1"/>
      </w:pPr>
      <w:r>
        <w:t>11. Performance and Management</w:t>
      </w:r>
    </w:p>
    <w:p>
      <w:pPr>
        <w:pStyle w:val="ListBullet"/>
        <w:spacing w:after="60"/>
      </w:pPr>
      <w:r>
        <w:t>Performance will be assessed on the basis of output and results, not hours logged or time spent at a desk</w:t>
      </w:r>
    </w:p>
    <w:p>
      <w:pPr>
        <w:pStyle w:val="ListBullet"/>
        <w:spacing w:after="60"/>
      </w:pPr>
      <w:r>
        <w:t>Regular one-to-one meetings with the line manager will take place at least weekly (can be via Google Meet)</w:t>
      </w:r>
    </w:p>
    <w:p>
      <w:pPr>
        <w:pStyle w:val="ListBullet"/>
        <w:spacing w:after="60"/>
      </w:pPr>
      <w:r>
        <w:t>Team meetings will be held at a regular cadence agreed by the team (at least weekly)</w:t>
      </w:r>
    </w:p>
    <w:p>
      <w:pPr>
        <w:pStyle w:val="ListBullet"/>
        <w:spacing w:after="60"/>
      </w:pPr>
      <w:r>
        <w:t>Where there are concerns about performance, the Company reserves the right to require increased office attendance, with reasonable notice and discussion</w:t>
      </w:r>
    </w:p>
    <w:p>
      <w:pPr>
        <w:pStyle w:val="Heading1"/>
      </w:pPr>
      <w:r>
        <w:t>12. Expenses</w:t>
      </w:r>
    </w:p>
    <w:p>
      <w:pPr>
        <w:pStyle w:val="ListBullet"/>
        <w:spacing w:after="60"/>
      </w:pPr>
      <w:r>
        <w:t>The Company does not reimburse home office running costs (broadband, electricity, heating). Employees may be able to claim tax relief from HMRC for working from home.</w:t>
      </w:r>
    </w:p>
    <w:p>
      <w:pPr>
        <w:pStyle w:val="ListBullet"/>
        <w:spacing w:after="60"/>
      </w:pPr>
      <w:r>
        <w:t>Travel to the office on designated office days is treated as a normal commute and is not reimbursable</w:t>
      </w:r>
    </w:p>
    <w:p>
      <w:pPr>
        <w:pStyle w:val="ListBullet"/>
        <w:spacing w:after="60"/>
      </w:pPr>
      <w:r>
        <w:t>Travel from home directly to a client site or other business location (not the office) is reimbursable per the Company's expenses policy</w:t>
      </w:r>
    </w:p>
    <w:p>
      <w:pPr>
        <w:pStyle w:val="ListBullet"/>
        <w:spacing w:after="60"/>
      </w:pPr>
      <w:r>
        <w:t>Mileage for business travel from home will be calculated from the home address or the office address, whichever is shorter, in accordance with HMRC guidelines</w:t>
      </w:r>
    </w:p>
    <w:p>
      <w:pPr>
        <w:pStyle w:val="Heading1"/>
      </w:pPr>
      <w:r>
        <w:t>13. Trial Periods and Review</w:t>
      </w:r>
    </w:p>
    <w:p>
      <w:pPr>
        <w:pStyle w:val="ListBullet"/>
        <w:spacing w:after="60"/>
      </w:pPr>
      <w:r>
        <w:t>New remote or hybrid working arrangements will be subject to an initial trial period of 3 months</w:t>
      </w:r>
    </w:p>
    <w:p>
      <w:pPr>
        <w:pStyle w:val="ListBullet"/>
        <w:spacing w:after="60"/>
      </w:pPr>
      <w:r>
        <w:t>At the end of the trial period, the arrangement will be reviewed and confirmed, adjusted or discontinued based on its effectiveness</w:t>
      </w:r>
    </w:p>
    <w:p>
      <w:pPr>
        <w:pStyle w:val="ListBullet"/>
        <w:spacing w:after="60"/>
      </w:pPr>
      <w:r>
        <w:t>All arrangements are subject to annual review</w:t>
      </w:r>
    </w:p>
    <w:p>
      <w:pPr>
        <w:pStyle w:val="ListBullet"/>
        <w:spacing w:after="60"/>
      </w:pPr>
      <w:r>
        <w:t>The Company reserves the right to revoke or modify a remote working arrangement with 4 weeks' notice where business needs require it. The reasons for any change will be discussed with the employee.</w:t>
      </w:r>
    </w:p>
    <w:p>
      <w:pPr>
        <w:pStyle w:val="Heading1"/>
      </w:pPr>
      <w:r>
        <w:t>14. 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Field</w:t>
            </w:r>
          </w:p>
        </w:tc>
        <w:tc>
          <w:tcPr>
            <w:tcW w:type="dxa" w:w="6803"/>
            <w:shd w:fill="1E40AF"/>
          </w:tcPr>
          <w:p>
            <w:pPr>
              <w:jc w:val="left"/>
            </w:pPr>
            <w:r>
              <w:rPr>
                <w:rFonts w:ascii="Calibri" w:hAnsi="Calibri"/>
                <w:b/>
                <w:color w:val="FFFFFF"/>
                <w:sz w:val="20"/>
              </w:rPr>
              <w:t>Detail</w:t>
            </w:r>
          </w:p>
        </w:tc>
      </w:tr>
      <w:tr>
        <w:tc>
          <w:tcPr>
            <w:tcW w:type="dxa" w:w="2835"/>
          </w:tcPr>
          <w:p>
            <w:r>
              <w:rPr>
                <w:rFonts w:ascii="Calibri" w:hAnsi="Calibri"/>
                <w:color w:val="333333"/>
                <w:sz w:val="20"/>
              </w:rPr>
              <w:t>Document Title</w:t>
            </w:r>
          </w:p>
        </w:tc>
        <w:tc>
          <w:tcPr>
            <w:tcW w:type="dxa" w:w="6803"/>
          </w:tcPr>
          <w:p>
            <w:r>
              <w:rPr>
                <w:rFonts w:ascii="Calibri" w:hAnsi="Calibri"/>
                <w:color w:val="333333"/>
                <w:sz w:val="20"/>
              </w:rPr>
              <w:t>Remote and Hybrid Working Policy</w:t>
            </w:r>
          </w:p>
        </w:tc>
      </w:tr>
      <w:tr>
        <w:tc>
          <w:tcPr>
            <w:tcW w:type="dxa" w:w="2835"/>
          </w:tcPr>
          <w:p>
            <w:r>
              <w:rPr>
                <w:rFonts w:ascii="Calibri" w:hAnsi="Calibri"/>
                <w:color w:val="333333"/>
                <w:sz w:val="20"/>
              </w:rPr>
              <w:t>Version</w:t>
            </w:r>
          </w:p>
        </w:tc>
        <w:tc>
          <w:tcPr>
            <w:tcW w:type="dxa" w:w="6803"/>
          </w:tcPr>
          <w:p>
            <w:r>
              <w:rPr>
                <w:rFonts w:ascii="Calibri" w:hAnsi="Calibri"/>
                <w:color w:val="333333"/>
                <w:sz w:val="20"/>
              </w:rPr>
              <w:t>1.0</w:t>
            </w:r>
          </w:p>
        </w:tc>
      </w:tr>
      <w:tr>
        <w:tc>
          <w:tcPr>
            <w:tcW w:type="dxa" w:w="2835"/>
          </w:tcPr>
          <w:p>
            <w:r>
              <w:rPr>
                <w:rFonts w:ascii="Calibri" w:hAnsi="Calibri"/>
                <w:color w:val="333333"/>
                <w:sz w:val="20"/>
              </w:rPr>
              <w:t>Effective Date</w:t>
            </w:r>
          </w:p>
        </w:tc>
        <w:tc>
          <w:tcPr>
            <w:tcW w:type="dxa" w:w="6803"/>
          </w:tcPr>
          <w:p>
            <w:r>
              <w:rPr>
                <w:rFonts w:ascii="Calibri" w:hAnsi="Calibri"/>
                <w:color w:val="333333"/>
                <w:sz w:val="20"/>
              </w:rPr>
              <w:t>February 2026</w:t>
            </w:r>
          </w:p>
        </w:tc>
      </w:tr>
      <w:tr>
        <w:tc>
          <w:tcPr>
            <w:tcW w:type="dxa" w:w="2835"/>
          </w:tcPr>
          <w:p>
            <w:r>
              <w:rPr>
                <w:rFonts w:ascii="Calibri" w:hAnsi="Calibri"/>
                <w:color w:val="333333"/>
                <w:sz w:val="20"/>
              </w:rPr>
              <w:t>Next Review Date</w:t>
            </w:r>
          </w:p>
        </w:tc>
        <w:tc>
          <w:tcPr>
            <w:tcW w:type="dxa" w:w="6803"/>
          </w:tcPr>
          <w:p>
            <w:r>
              <w:rPr>
                <w:rFonts w:ascii="Calibri" w:hAnsi="Calibri"/>
                <w:color w:val="333333"/>
                <w:sz w:val="20"/>
              </w:rPr>
              <w:t>February 2027</w:t>
            </w:r>
          </w:p>
        </w:tc>
      </w:tr>
      <w:tr>
        <w:tc>
          <w:tcPr>
            <w:tcW w:type="dxa" w:w="2835"/>
          </w:tcPr>
          <w:p>
            <w:r>
              <w:rPr>
                <w:rFonts w:ascii="Calibri" w:hAnsi="Calibri"/>
                <w:color w:val="333333"/>
                <w:sz w:val="20"/>
              </w:rPr>
              <w:t>Owner</w:t>
            </w:r>
          </w:p>
        </w:tc>
        <w:tc>
          <w:tcPr>
            <w:tcW w:type="dxa" w:w="6803"/>
          </w:tcPr>
          <w:p>
            <w:r>
              <w:rPr>
                <w:rFonts w:ascii="Calibri" w:hAnsi="Calibri"/>
                <w:color w:val="333333"/>
                <w:sz w:val="20"/>
              </w:rPr>
              <w:t>Matt Fitzgerald MRICS, Managing Director</w:t>
            </w:r>
          </w:p>
        </w:tc>
      </w:tr>
      <w:tr>
        <w:tc>
          <w:tcPr>
            <w:tcW w:type="dxa" w:w="2835"/>
          </w:tcPr>
          <w:p>
            <w:r>
              <w:rPr>
                <w:rFonts w:ascii="Calibri" w:hAnsi="Calibri"/>
                <w:color w:val="333333"/>
                <w:sz w:val="20"/>
              </w:rPr>
              <w:t>Approved By</w:t>
            </w:r>
          </w:p>
        </w:tc>
        <w:tc>
          <w:tcPr>
            <w:tcW w:type="dxa" w:w="6803"/>
          </w:tcPr>
          <w:p>
            <w:r>
              <w:rPr>
                <w:rFonts w:ascii="Calibri" w:hAnsi="Calibri"/>
                <w:color w:val="333333"/>
                <w:sz w:val="20"/>
              </w:rPr>
              <w:t>Matt Fitzgerald MRICS / Jamie Smyth MRICS</w:t>
            </w:r>
          </w:p>
        </w:tc>
      </w:tr>
      <w:tr>
        <w:tc>
          <w:tcPr>
            <w:tcW w:type="dxa" w:w="2835"/>
          </w:tcPr>
          <w:p>
            <w:r>
              <w:rPr>
                <w:rFonts w:ascii="Calibri" w:hAnsi="Calibri"/>
                <w:color w:val="333333"/>
                <w:sz w:val="20"/>
              </w:rPr>
              <w:t>Classification</w:t>
            </w:r>
          </w:p>
        </w:tc>
        <w:tc>
          <w:tcPr>
            <w:tcW w:type="dxa" w:w="6803"/>
          </w:tcPr>
          <w:p>
            <w:r>
              <w:rPr>
                <w:rFonts w:ascii="Calibri" w:hAnsi="Calibri"/>
                <w:color w:val="333333"/>
                <w:sz w:val="20"/>
              </w:rPr>
              <w:t>Internal</w:t>
            </w:r>
          </w:p>
        </w:tc>
      </w:tr>
    </w:tbl>
    <w:p/>
    <w:p>
      <w:pPr>
        <w:spacing w:after="120"/>
      </w:pPr>
      <w:r>
        <w:t>Signed:</w:t>
      </w:r>
    </w:p>
    <w:p>
      <w:pPr>
        <w:spacing w:after="120"/>
      </w:pPr>
    </w:p>
    <w:p>
      <w:pPr>
        <w:spacing w:after="120"/>
      </w:pPr>
      <w:r>
        <w:t>____________________________________</w:t>
      </w:r>
    </w:p>
    <w:p>
      <w:pPr>
        <w:spacing w:after="120"/>
      </w:pPr>
      <w:r>
        <w:t>Matt Fitzgerald MRICS</w:t>
      </w:r>
    </w:p>
    <w:p>
      <w:pPr>
        <w:spacing w:after="120"/>
      </w:pPr>
      <w:r>
        <w:t>Managing Director, Hillway Holdings Ltd</w:t>
      </w:r>
    </w:p>
    <w:p>
      <w:pPr>
        <w:spacing w:after="120"/>
      </w:pPr>
      <w:r>
        <w:t>Date: ___________________</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