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drawing>
          <wp:inline xmlns:a="http://schemas.openxmlformats.org/drawingml/2006/main" xmlns:pic="http://schemas.openxmlformats.org/drawingml/2006/picture">
            <wp:extent cx="2286000" cy="1514475"/>
            <wp:docPr id="1" name="Picture 1"/>
            <wp:cNvGraphicFramePr>
              <a:graphicFrameLocks noChangeAspect="1"/>
            </wp:cNvGraphicFramePr>
            <a:graphic>
              <a:graphicData uri="http://schemas.openxmlformats.org/drawingml/2006/picture">
                <pic:pic>
                  <pic:nvPicPr>
                    <pic:cNvPr id="0" name="hillway-logo.png"/>
                    <pic:cNvPicPr/>
                  </pic:nvPicPr>
                  <pic:blipFill>
                    <a:blip r:embed="rId9"/>
                    <a:stretch>
                      <a:fillRect/>
                    </a:stretch>
                  </pic:blipFill>
                  <pic:spPr>
                    <a:xfrm>
                      <a:off x="0" y="0"/>
                      <a:ext cx="2286000" cy="1514475"/>
                    </a:xfrm>
                    <a:prstGeom prst="rect"/>
                  </pic:spPr>
                </pic:pic>
              </a:graphicData>
            </a:graphic>
          </wp:inline>
        </w:drawing>
      </w:r>
    </w:p>
    <w:p/>
    <w:p>
      <w:pPr>
        <w:jc w:val="center"/>
      </w:pPr>
      <w:r>
        <w:rPr>
          <w:rFonts w:ascii="Calibri" w:hAnsi="Calibri"/>
          <w:b/>
          <w:color w:val="0F172A"/>
          <w:sz w:val="56"/>
        </w:rPr>
        <w:t>Staff Handbook</w:t>
      </w:r>
    </w:p>
    <w:p>
      <w:pPr>
        <w:jc w:val="center"/>
      </w:pPr>
      <w:r>
        <w:rPr>
          <w:rFonts w:ascii="Calibri" w:hAnsi="Calibri"/>
          <w:color w:val="64748B"/>
          <w:sz w:val="28"/>
        </w:rPr>
        <w:t>Hillway</w:t>
      </w:r>
    </w:p>
    <w:p/>
    <w:p/>
    <w:p/>
    <w:p>
      <w:pPr>
        <w:jc w:val="center"/>
      </w:pPr>
      <w:r>
        <w:rPr>
          <w:color w:val="1E40AF"/>
          <w:sz w:val="24"/>
        </w:rPr>
        <w:t>━━━━━━━━━━━━━━━━━━━━━━━━━━━━━━━━━━━━━━━━</w:t>
      </w:r>
    </w:p>
    <w:p/>
    <w:p>
      <w:pPr>
        <w:spacing w:after="40"/>
        <w:jc w:val="center"/>
      </w:pPr>
      <w:r>
        <w:rPr>
          <w:rFonts w:ascii="Calibri" w:hAnsi="Calibri"/>
          <w:b/>
          <w:color w:val="64748B"/>
          <w:sz w:val="20"/>
        </w:rPr>
        <w:t xml:space="preserve">Hillway Holdings Ltd: </w:t>
      </w:r>
      <w:r>
        <w:rPr>
          <w:rFonts w:ascii="Calibri" w:hAnsi="Calibri"/>
          <w:color w:val="333333"/>
          <w:sz w:val="20"/>
        </w:rPr>
        <w:t>Trading as Hillway</w:t>
      </w:r>
    </w:p>
    <w:p>
      <w:pPr>
        <w:spacing w:after="40"/>
        <w:jc w:val="center"/>
      </w:pPr>
      <w:r>
        <w:rPr>
          <w:rFonts w:ascii="Calibri" w:hAnsi="Calibri"/>
          <w:b/>
          <w:color w:val="64748B"/>
          <w:sz w:val="20"/>
        </w:rPr>
        <w:t xml:space="preserve">Version: </w:t>
      </w:r>
      <w:r>
        <w:rPr>
          <w:rFonts w:ascii="Calibri" w:hAnsi="Calibri"/>
          <w:color w:val="333333"/>
          <w:sz w:val="20"/>
        </w:rPr>
        <w:t>1.0</w:t>
      </w:r>
    </w:p>
    <w:p>
      <w:pPr>
        <w:spacing w:after="40"/>
        <w:jc w:val="center"/>
      </w:pPr>
      <w:r>
        <w:rPr>
          <w:rFonts w:ascii="Calibri" w:hAnsi="Calibri"/>
          <w:b/>
          <w:color w:val="64748B"/>
          <w:sz w:val="20"/>
        </w:rPr>
        <w:t xml:space="preserve">Date: </w:t>
      </w:r>
      <w:r>
        <w:rPr>
          <w:rFonts w:ascii="Calibri" w:hAnsi="Calibri"/>
          <w:color w:val="333333"/>
          <w:sz w:val="20"/>
        </w:rPr>
        <w:t>February 2026</w:t>
      </w:r>
    </w:p>
    <w:p>
      <w:pPr>
        <w:spacing w:after="40"/>
        <w:jc w:val="center"/>
      </w:pPr>
      <w:r>
        <w:rPr>
          <w:rFonts w:ascii="Calibri" w:hAnsi="Calibri"/>
          <w:b/>
          <w:color w:val="64748B"/>
          <w:sz w:val="20"/>
        </w:rPr>
        <w:t xml:space="preserve">Classification: </w:t>
      </w:r>
      <w:r>
        <w:rPr>
          <w:rFonts w:ascii="Calibri" w:hAnsi="Calibri"/>
          <w:color w:val="333333"/>
          <w:sz w:val="20"/>
        </w:rPr>
        <w:t>Confidential</w:t>
      </w:r>
    </w:p>
    <w:p>
      <w:r>
        <w:br w:type="page"/>
      </w:r>
    </w:p>
    <w:p>
      <w:pPr>
        <w:pStyle w:val="Heading1"/>
      </w:pPr>
      <w:r>
        <w:t>Contents</w:t>
      </w:r>
    </w:p>
    <w:p>
      <w:pPr>
        <w:spacing w:after="120"/>
      </w:pPr>
      <w:r>
        <w:t>1. Introduction and Welcome</w:t>
      </w:r>
    </w:p>
    <w:p>
      <w:pPr>
        <w:spacing w:after="120"/>
      </w:pPr>
      <w:r>
        <w:t>2. About Hillway</w:t>
      </w:r>
    </w:p>
    <w:p>
      <w:pPr>
        <w:spacing w:after="120"/>
      </w:pPr>
      <w:r>
        <w:t>3. Standards of Conduct</w:t>
      </w:r>
    </w:p>
    <w:p>
      <w:pPr>
        <w:spacing w:after="120"/>
      </w:pPr>
      <w:r>
        <w:t>4. Disciplinary Policy</w:t>
      </w:r>
    </w:p>
    <w:p>
      <w:pPr>
        <w:spacing w:after="120"/>
      </w:pPr>
      <w:r>
        <w:t>5. Grievance Policy</w:t>
      </w:r>
    </w:p>
    <w:p>
      <w:pPr>
        <w:spacing w:after="120"/>
      </w:pPr>
      <w:r>
        <w:t>6. Health and Safety</w:t>
      </w:r>
    </w:p>
    <w:p>
      <w:pPr>
        <w:spacing w:after="120"/>
      </w:pPr>
      <w:r>
        <w:t>7. Data Protection and Information Security</w:t>
      </w:r>
    </w:p>
    <w:p>
      <w:pPr>
        <w:spacing w:after="120"/>
      </w:pPr>
      <w:r>
        <w:t>8. Equal Opportunities</w:t>
      </w:r>
    </w:p>
    <w:p>
      <w:pPr>
        <w:spacing w:after="120"/>
      </w:pPr>
      <w:r>
        <w:t>9. Anti-Harassment and Bullying</w:t>
      </w:r>
    </w:p>
    <w:p>
      <w:pPr>
        <w:spacing w:after="120"/>
      </w:pPr>
      <w:r>
        <w:t>10. Absence and Sickness</w:t>
      </w:r>
    </w:p>
    <w:p>
      <w:pPr>
        <w:spacing w:after="120"/>
      </w:pPr>
      <w:r>
        <w:t>11. Company Property and IT Systems</w:t>
      </w:r>
    </w:p>
    <w:p>
      <w:pPr>
        <w:spacing w:after="120"/>
      </w:pPr>
      <w:r>
        <w:t>12. Social Media Policy</w:t>
      </w:r>
    </w:p>
    <w:p>
      <w:pPr>
        <w:spacing w:after="120"/>
      </w:pPr>
      <w:r>
        <w:t>13. Whistleblowing</w:t>
      </w:r>
    </w:p>
    <w:p>
      <w:pPr>
        <w:spacing w:after="120"/>
      </w:pPr>
      <w:r>
        <w:t>14. Drug and Alcohol Policy</w:t>
      </w:r>
    </w:p>
    <w:p>
      <w:pPr>
        <w:spacing w:after="120"/>
      </w:pPr>
      <w:r>
        <w:t>15. Client Complaints Handling</w:t>
      </w:r>
    </w:p>
    <w:p>
      <w:pPr>
        <w:spacing w:after="120"/>
      </w:pPr>
      <w:r>
        <w:t>16. Maternity, Paternity and Shared Parental Leave</w:t>
      </w:r>
    </w:p>
    <w:p>
      <w:pPr>
        <w:spacing w:after="120"/>
      </w:pPr>
      <w:r>
        <w:t>17. Flexible and Remote Working</w:t>
      </w:r>
    </w:p>
    <w:p>
      <w:pPr>
        <w:spacing w:after="120"/>
      </w:pPr>
      <w:r>
        <w:t>18. RICS Compliance</w:t>
      </w:r>
    </w:p>
    <w:p>
      <w:pPr>
        <w:spacing w:after="120"/>
      </w:pPr>
      <w:r>
        <w:t>19. Anti-Money Laundering</w:t>
      </w:r>
    </w:p>
    <w:p>
      <w:pPr>
        <w:spacing w:after="120"/>
      </w:pPr>
      <w:r>
        <w:t>20. Conflicts of Interest</w:t>
      </w:r>
    </w:p>
    <w:p>
      <w:pPr>
        <w:spacing w:after="120"/>
      </w:pPr>
      <w:r>
        <w:t>21. Use of AI and Technology</w:t>
      </w:r>
    </w:p>
    <w:p>
      <w:r>
        <w:br w:type="page"/>
      </w:r>
    </w:p>
    <w:p>
      <w:pPr>
        <w:pStyle w:val="Heading1"/>
      </w:pPr>
      <w:r>
        <w:t>1. Introduction and Welcome</w:t>
      </w:r>
    </w:p>
    <w:p>
      <w:pPr>
        <w:spacing w:after="120"/>
      </w:pPr>
      <w:r>
        <w:t>Welcome to Hillway. Whether you are a new starter or an existing member of the team, this Staff Handbook is designed to provide you with essential information about working at Hillway, our policies, and what we expect of each other.</w:t>
      </w:r>
    </w:p>
    <w:p>
      <w:pPr>
        <w:spacing w:after="120"/>
      </w:pPr>
      <w:r>
        <w:t>This handbook applies to all employees, apprentices, and workers of Hillway Holdings Ltd (trading as Hillway). Where policies differ for contractors or freelancers, this will be clearly stated.</w:t>
      </w:r>
    </w:p>
    <w:p>
      <w:pPr>
        <w:spacing w:after="120"/>
      </w:pPr>
      <w:r>
        <w:t>The handbook is intended as a guide and does not form part of your contract of employment unless expressly stated. The company reserves the right to amend these policies from time to time. Where changes are made, you will be notified in writing or by email.</w:t>
      </w:r>
    </w:p>
    <w:p>
      <w:pPr>
        <w:spacing w:after="120"/>
      </w:pPr>
      <w:r>
        <w:t>If you have any questions about the content of this handbook or need further clarification on any policy, please speak to your line manager or the Managing Director.</w:t>
      </w:r>
    </w:p>
    <w:p>
      <w:pPr>
        <w:spacing w:after="120"/>
      </w:pPr>
      <w:r>
        <w:rPr>
          <w:rFonts w:ascii="Calibri" w:hAnsi="Calibri"/>
          <w:b/>
          <w:sz w:val="22"/>
        </w:rPr>
        <w:t>Matt Fitzgerald MRICS</w:t>
      </w:r>
      <w:r>
        <w:rPr>
          <w:rFonts w:ascii="Calibri" w:hAnsi="Calibri"/>
        </w:rPr>
        <w:br/>
        <w:t>Managing Director</w:t>
        <w:br/>
        <w:t>Hillway</w:t>
      </w:r>
    </w:p>
    <w:p>
      <w:r>
        <w:br w:type="page"/>
      </w:r>
    </w:p>
    <w:p>
      <w:pPr>
        <w:pStyle w:val="Heading1"/>
      </w:pPr>
      <w:r>
        <w:t>2. About Hillway</w:t>
      </w:r>
    </w:p>
    <w:p>
      <w:pPr>
        <w:pStyle w:val="Heading2"/>
      </w:pPr>
      <w:r>
        <w:t>2.1 Our Business</w:t>
      </w:r>
    </w:p>
    <w:p>
      <w:pPr>
        <w:spacing w:after="120"/>
      </w:pPr>
      <w:r>
        <w:t>Hillway Holdings Ltd (Company Number 14319867) trades as Hillway. We are a RICS Regulated Firm based in Sheffield, providing professional property consultancy services across the commercial real estate sector.</w:t>
      </w:r>
    </w:p>
    <w:p>
      <w:pPr>
        <w:spacing w:after="120"/>
      </w:pPr>
      <w:r>
        <w:t>Our core services include:</w:t>
      </w:r>
    </w:p>
    <w:p>
      <w:pPr>
        <w:pStyle w:val="ListBullet"/>
        <w:spacing w:after="60"/>
      </w:pPr>
      <w:r>
        <w:t>Commercial property management</w:t>
      </w:r>
    </w:p>
    <w:p>
      <w:pPr>
        <w:pStyle w:val="ListBullet"/>
        <w:spacing w:after="60"/>
      </w:pPr>
      <w:r>
        <w:t>Leasing and letting</w:t>
      </w:r>
    </w:p>
    <w:p>
      <w:pPr>
        <w:pStyle w:val="ListBullet"/>
        <w:spacing w:after="60"/>
      </w:pPr>
      <w:r>
        <w:t>Landlord and tenant advisory</w:t>
      </w:r>
    </w:p>
    <w:p>
      <w:pPr>
        <w:pStyle w:val="ListBullet"/>
        <w:spacing w:after="60"/>
      </w:pPr>
      <w:r>
        <w:t>Building surveying</w:t>
      </w:r>
    </w:p>
    <w:p>
      <w:pPr>
        <w:pStyle w:val="ListBullet"/>
        <w:spacing w:after="60"/>
      </w:pPr>
      <w:r>
        <w:t>Valuation services</w:t>
      </w:r>
    </w:p>
    <w:p>
      <w:pPr>
        <w:pStyle w:val="ListBullet"/>
        <w:spacing w:after="60"/>
      </w:pPr>
      <w:r>
        <w:t>Rent reviews and lease renewals</w:t>
      </w:r>
    </w:p>
    <w:p>
      <w:pPr>
        <w:pStyle w:val="Heading2"/>
      </w:pPr>
      <w:r>
        <w:t>2.2 PropTech Division</w:t>
      </w:r>
    </w:p>
    <w:p>
      <w:pPr>
        <w:spacing w:after="120"/>
      </w:pPr>
      <w:r>
        <w:t>Hillway also develops and operates property technology (PropTech) products through our technology division. Our SaaS products include Steer AI (intelligent property management platform), ServCharge (service charge management), and Finlo (financial health monitoring). This combination of traditional property expertise and technology innovation sets us apart in the market.</w:t>
      </w:r>
    </w:p>
    <w:p>
      <w:pPr>
        <w:pStyle w:val="Heading2"/>
      </w:pPr>
      <w:r>
        <w:t>2.3 Our Team</w:t>
      </w:r>
    </w:p>
    <w:p>
      <w:pPr>
        <w:spacing w:after="120"/>
      </w:pPr>
      <w:r>
        <w:t>The firm is led by Matt Fitzgerald MRICS (Managing Director) and Jamie Smyth MRICS (Director). We are a small, agile team that values collaboration, initiative, and continuous professional development.</w:t>
      </w:r>
    </w:p>
    <w:p>
      <w:pPr>
        <w:pStyle w:val="Heading2"/>
      </w:pPr>
      <w:r>
        <w:t>2.4 Our Values</w:t>
      </w:r>
    </w:p>
    <w:p>
      <w:pPr>
        <w:pStyle w:val="ListBullet"/>
        <w:spacing w:after="60"/>
      </w:pPr>
      <w:r>
        <w:t>Integrity — We act honestly and ethically in everything we do, upholding the highest professional standards.</w:t>
      </w:r>
    </w:p>
    <w:p>
      <w:pPr>
        <w:pStyle w:val="ListBullet"/>
        <w:spacing w:after="60"/>
      </w:pPr>
      <w:r>
        <w:t>Innovation — We embrace technology and new approaches to deliver better outcomes for our clients.</w:t>
      </w:r>
    </w:p>
    <w:p>
      <w:pPr>
        <w:pStyle w:val="ListBullet"/>
        <w:spacing w:after="60"/>
      </w:pPr>
      <w:r>
        <w:t>Excellence — We strive for the highest quality in our work, advice, and client service.</w:t>
      </w:r>
    </w:p>
    <w:p>
      <w:pPr>
        <w:pStyle w:val="ListBullet"/>
        <w:spacing w:after="60"/>
      </w:pPr>
      <w:r>
        <w:t>Client Focus — Our clients are at the centre of everything we do. We listen, understand, and deliver.</w:t>
      </w:r>
    </w:p>
    <w:p>
      <w:pPr>
        <w:pStyle w:val="Heading2"/>
      </w:pPr>
      <w:r>
        <w:t>2.5 Our Office</w:t>
      </w:r>
    </w:p>
    <w:p>
      <w:pPr>
        <w:spacing w:after="120"/>
      </w:pPr>
      <w:r>
        <w:t>Our office is located at Cubo, 38 Carver Street, Sheffield S1 4FS. Cubo is a modern co-working space in the heart of Sheffield city centre. Information about building access, facilities, and local amenities will be provided during your induction.</w:t>
        <w:br/>
        <w:br/>
        <w:t>Doncaster Office: First Floor, David House, 30 South Parade, Bawtry, Doncaster, South Yorkshire, DN10 6JH</w:t>
      </w:r>
    </w:p>
    <w:p>
      <w:r>
        <w:br w:type="page"/>
      </w:r>
    </w:p>
    <w:p>
      <w:pPr>
        <w:pStyle w:val="Heading1"/>
      </w:pPr>
      <w:r>
        <w:t>3. Standards of Conduct</w:t>
      </w:r>
    </w:p>
    <w:p>
      <w:pPr>
        <w:spacing w:after="120"/>
      </w:pPr>
      <w:r>
        <w:t>As a RICS Regulated Firm, Hillway is held to the highest professional standards. Every member of the team is expected to conduct themselves in a manner that reflects positively on the firm, our clients, and the profession.</w:t>
      </w:r>
    </w:p>
    <w:p>
      <w:pPr>
        <w:pStyle w:val="Heading2"/>
      </w:pPr>
      <w:r>
        <w:t>3.1 Professional Appearance and Demeanour</w:t>
      </w:r>
    </w:p>
    <w:p>
      <w:pPr>
        <w:spacing w:after="120"/>
      </w:pPr>
      <w:r>
        <w:t>All staff are expected to dress in smart business or smart-casual attire appropriate for a professional services environment. When attending client meetings, site inspections, or external events, business dress is required. You represent Hillway at all times when conducting company business.</w:t>
      </w:r>
    </w:p>
    <w:p>
      <w:pPr>
        <w:pStyle w:val="Heading2"/>
      </w:pPr>
      <w:r>
        <w:t>3.2 Client Interactions</w:t>
      </w:r>
    </w:p>
    <w:p>
      <w:pPr>
        <w:spacing w:after="120"/>
      </w:pPr>
      <w:r>
        <w:t>All interactions with clients, tenants, landlords, contractors, and other stakeholders must be conducted professionally and in accordance with RICS Rules of Conduct. You must:</w:t>
      </w:r>
    </w:p>
    <w:p>
      <w:pPr>
        <w:pStyle w:val="ListBullet"/>
        <w:spacing w:after="60"/>
      </w:pPr>
      <w:r>
        <w:t>Be courteous, responsive, and professional in all communications</w:t>
      </w:r>
    </w:p>
    <w:p>
      <w:pPr>
        <w:pStyle w:val="ListBullet"/>
        <w:spacing w:after="60"/>
      </w:pPr>
      <w:r>
        <w:t>Respond to client enquiries promptly (within one working day for routine matters)</w:t>
      </w:r>
    </w:p>
    <w:p>
      <w:pPr>
        <w:pStyle w:val="ListBullet"/>
        <w:spacing w:after="60"/>
      </w:pPr>
      <w:r>
        <w:t>Maintain appropriate records of all client interactions</w:t>
      </w:r>
    </w:p>
    <w:p>
      <w:pPr>
        <w:pStyle w:val="ListBullet"/>
        <w:spacing w:after="60"/>
      </w:pPr>
      <w:r>
        <w:t>Never make commitments on behalf of the firm without appropriate authority</w:t>
      </w:r>
    </w:p>
    <w:p>
      <w:pPr>
        <w:pStyle w:val="ListBullet"/>
        <w:spacing w:after="60"/>
      </w:pPr>
      <w:r>
        <w:t>Escalate complaints or contentious matters to a Director immediately</w:t>
      </w:r>
    </w:p>
    <w:p>
      <w:pPr>
        <w:pStyle w:val="Heading2"/>
      </w:pPr>
      <w:r>
        <w:t>3.3 Punctuality and Attendance</w:t>
      </w:r>
    </w:p>
    <w:p>
      <w:pPr>
        <w:spacing w:after="120"/>
      </w:pPr>
      <w:r>
        <w:t>You are expected to attend work on time and be ready to work at your contracted start time. If you are going to be late or absent, you must notify your line manager as early as possible and in any event before your normal start time. Persistent lateness or unexplained absence may lead to disciplinary action.</w:t>
      </w:r>
    </w:p>
    <w:p>
      <w:pPr>
        <w:pStyle w:val="Heading2"/>
      </w:pPr>
      <w:r>
        <w:t>3.4 Use of Company Resources</w:t>
      </w:r>
    </w:p>
    <w:p>
      <w:pPr>
        <w:spacing w:after="120"/>
      </w:pPr>
      <w:r>
        <w:t>Company resources, including equipment, systems, and supplies, are provided for business use. Limited personal use is permitted provided it does not interfere with your work, incur significant cost, or breach any other policy. Company resources must never be used for illegal, unethical, or offensive purposes.</w:t>
      </w:r>
    </w:p>
    <w:p>
      <w:pPr>
        <w:pStyle w:val="Heading2"/>
      </w:pPr>
      <w:r>
        <w:t>3.5 Conflict of Interest</w:t>
      </w:r>
    </w:p>
    <w:p>
      <w:pPr>
        <w:spacing w:after="120"/>
      </w:pPr>
      <w:r>
        <w:t>You must avoid any situation where your personal interests conflict, or could appear to conflict, with the interests of Hillway or its clients. If you become aware of any potential conflict, you must disclose it to a Director immediately. See the Conflicts of Interest Policy (Section 20) for detailed guidance.</w:t>
      </w:r>
    </w:p>
    <w:p>
      <w:pPr>
        <w:pStyle w:val="Heading2"/>
      </w:pPr>
      <w:r>
        <w:t>3.6 Misconduct</w:t>
      </w:r>
    </w:p>
    <w:p>
      <w:pPr>
        <w:spacing w:after="120"/>
      </w:pPr>
      <w:r>
        <w:t>The following are examples of conduct that may result in disciplinary action:</w:t>
      </w:r>
    </w:p>
    <w:p>
      <w:pPr>
        <w:pStyle w:val="ListBullet"/>
        <w:spacing w:after="60"/>
      </w:pPr>
      <w:r>
        <w:t>Persistent lateness or unauthorised absence</w:t>
      </w:r>
    </w:p>
    <w:p>
      <w:pPr>
        <w:pStyle w:val="ListBullet"/>
        <w:spacing w:after="60"/>
      </w:pPr>
      <w:r>
        <w:t>Failure to follow reasonable management instructions</w:t>
      </w:r>
    </w:p>
    <w:p>
      <w:pPr>
        <w:pStyle w:val="ListBullet"/>
        <w:spacing w:after="60"/>
      </w:pPr>
      <w:r>
        <w:t>Careless or negligent performance of duties</w:t>
      </w:r>
    </w:p>
    <w:p>
      <w:pPr>
        <w:pStyle w:val="ListBullet"/>
        <w:spacing w:after="60"/>
      </w:pPr>
      <w:r>
        <w:t>Misuse of company property or systems</w:t>
      </w:r>
    </w:p>
    <w:p>
      <w:pPr>
        <w:pStyle w:val="ListBullet"/>
        <w:spacing w:after="60"/>
      </w:pPr>
      <w:r>
        <w:t>Breach of confidentiality</w:t>
      </w:r>
    </w:p>
    <w:p>
      <w:pPr>
        <w:pStyle w:val="ListBullet"/>
        <w:spacing w:after="60"/>
      </w:pPr>
      <w:r>
        <w:t>Failure to comply with health and safety requirements</w:t>
      </w:r>
    </w:p>
    <w:p>
      <w:pPr>
        <w:pStyle w:val="Heading2"/>
      </w:pPr>
      <w:r>
        <w:t>3.7 Gross Misconduct</w:t>
      </w:r>
    </w:p>
    <w:p>
      <w:pPr>
        <w:spacing w:after="120"/>
      </w:pPr>
      <w:r>
        <w:t>The following are examples of conduct that may result in summary dismissal without notice:</w:t>
      </w:r>
    </w:p>
    <w:p>
      <w:pPr>
        <w:pStyle w:val="ListBullet"/>
        <w:spacing w:after="60"/>
      </w:pPr>
      <w:r>
        <w:t>Theft, fraud, or dishonesty</w:t>
      </w:r>
    </w:p>
    <w:p>
      <w:pPr>
        <w:pStyle w:val="ListBullet"/>
        <w:spacing w:after="60"/>
      </w:pPr>
      <w:r>
        <w:t>Violence, threats, or intimidation</w:t>
      </w:r>
    </w:p>
    <w:p>
      <w:pPr>
        <w:pStyle w:val="ListBullet"/>
        <w:spacing w:after="60"/>
      </w:pPr>
      <w:r>
        <w:t>Serious breach of health and safety rules</w:t>
      </w:r>
    </w:p>
    <w:p>
      <w:pPr>
        <w:pStyle w:val="ListBullet"/>
        <w:spacing w:after="60"/>
      </w:pPr>
      <w:r>
        <w:t>Breach of RICS Rules of Conduct</w:t>
      </w:r>
    </w:p>
    <w:p>
      <w:pPr>
        <w:pStyle w:val="ListBullet"/>
        <w:spacing w:after="60"/>
      </w:pPr>
      <w:r>
        <w:t>Being under the influence of alcohol or drugs at work</w:t>
      </w:r>
    </w:p>
    <w:p>
      <w:pPr>
        <w:pStyle w:val="ListBullet"/>
        <w:spacing w:after="60"/>
      </w:pPr>
      <w:r>
        <w:t>Serious breach of data protection or confidentiality</w:t>
      </w:r>
    </w:p>
    <w:p>
      <w:pPr>
        <w:pStyle w:val="ListBullet"/>
        <w:spacing w:after="60"/>
      </w:pPr>
      <w:r>
        <w:t>Discrimination, harassment, or bullying</w:t>
      </w:r>
    </w:p>
    <w:p>
      <w:pPr>
        <w:pStyle w:val="ListBullet"/>
        <w:spacing w:after="60"/>
      </w:pPr>
      <w:r>
        <w:t>Deliberate damage to company property</w:t>
      </w:r>
    </w:p>
    <w:p>
      <w:pPr>
        <w:pStyle w:val="ListBullet"/>
        <w:spacing w:after="60"/>
      </w:pPr>
      <w:r>
        <w:t>Bringing the firm into serious disrepute</w:t>
      </w:r>
    </w:p>
    <w:p>
      <w:pPr>
        <w:pStyle w:val="ListBullet"/>
        <w:spacing w:after="60"/>
      </w:pPr>
      <w:r>
        <w:t>Bribery or corruption</w:t>
      </w:r>
    </w:p>
    <w:p>
      <w:r>
        <w:br w:type="page"/>
      </w:r>
    </w:p>
    <w:p>
      <w:pPr>
        <w:pStyle w:val="Heading1"/>
      </w:pPr>
      <w:r>
        <w:t>4. Disciplinary Policy</w:t>
      </w:r>
    </w:p>
    <w:p>
      <w:pPr>
        <w:spacing w:after="120"/>
      </w:pPr>
      <w:r>
        <w:t>This policy is designed to help and encourage all employees to achieve and maintain acceptable standards of conduct, attendance, and job performance. It follows the ACAS Code of Practice on Disciplinary and Grievance Procedures.</w:t>
      </w:r>
    </w:p>
    <w:p>
      <w:pPr>
        <w:pStyle w:val="Heading2"/>
      </w:pPr>
      <w:r>
        <w:t>4.1 Scope</w:t>
      </w:r>
    </w:p>
    <w:p>
      <w:pPr>
        <w:spacing w:after="120"/>
      </w:pPr>
      <w:r>
        <w:t>This policy applies to all employees regardless of length of service. It does not form part of your contract of employment and may be amended from time to time.</w:t>
      </w:r>
    </w:p>
    <w:p>
      <w:pPr>
        <w:pStyle w:val="Heading2"/>
      </w:pPr>
      <w:r>
        <w:t>4.2 Principles</w:t>
      </w:r>
    </w:p>
    <w:p>
      <w:pPr>
        <w:pStyle w:val="ListBullet"/>
        <w:spacing w:after="60"/>
      </w:pPr>
      <w:r>
        <w:t>No disciplinary action will be taken until the matter has been fully investigated.</w:t>
      </w:r>
    </w:p>
    <w:p>
      <w:pPr>
        <w:pStyle w:val="ListBullet"/>
        <w:spacing w:after="60"/>
      </w:pPr>
      <w:r>
        <w:t>At every stage, you will be given the opportunity to state your case.</w:t>
      </w:r>
    </w:p>
    <w:p>
      <w:pPr>
        <w:pStyle w:val="ListBullet"/>
        <w:spacing w:after="60"/>
      </w:pPr>
      <w:r>
        <w:t>You have the right to be accompanied at any formal disciplinary meeting by a work colleague or trade union representative.</w:t>
      </w:r>
    </w:p>
    <w:p>
      <w:pPr>
        <w:pStyle w:val="ListBullet"/>
        <w:spacing w:after="60"/>
      </w:pPr>
      <w:r>
        <w:t>You will not be dismissed for a first offence except in cases of gross misconduct.</w:t>
      </w:r>
    </w:p>
    <w:p>
      <w:pPr>
        <w:pStyle w:val="ListBullet"/>
        <w:spacing w:after="60"/>
      </w:pPr>
      <w:r>
        <w:t>You have the right to appeal against any disciplinary decision.</w:t>
      </w:r>
    </w:p>
    <w:p>
      <w:pPr>
        <w:pStyle w:val="Heading2"/>
      </w:pPr>
      <w:r>
        <w:t>4.3 Informal Resolution</w:t>
      </w:r>
    </w:p>
    <w:p>
      <w:pPr>
        <w:spacing w:after="120"/>
      </w:pPr>
      <w:r>
        <w:t>Minor issues of conduct or performance will normally be dealt with informally through a quiet word or coaching conversation with your line manager. Where this is appropriate, your manager will explain the concern, the improvement required, and offer support. A note of the conversation may be placed on your file.</w:t>
      </w:r>
    </w:p>
    <w:p>
      <w:pPr>
        <w:pStyle w:val="Heading2"/>
      </w:pPr>
      <w:r>
        <w:t>4.4 Investigation</w:t>
      </w:r>
    </w:p>
    <w:p>
      <w:pPr>
        <w:spacing w:after="120"/>
      </w:pPr>
      <w:r>
        <w:t>Where a formal process is required, the matter will be investigated before any disciplinary action is considered. The investigation may include interviewing witnesses, reviewing documents, and gathering relevant evidence. You may be suspended on full pay during an investigation if this is necessary to conduct a fair investigation or to protect the business, clients, or other employees.</w:t>
      </w:r>
    </w:p>
    <w:p>
      <w:pPr>
        <w:pStyle w:val="Heading2"/>
      </w:pPr>
      <w:r>
        <w:t>4.5 Formal Disciplinary Procedure</w:t>
      </w:r>
    </w:p>
    <w:p>
      <w:pPr>
        <w:spacing w:after="120"/>
      </w:pPr>
      <w:r>
        <w:t>Stage 1 — First Written Warning: If conduct or performance does not meet acceptable standards, you will be given a formal written warning. This will set out the nature of the concern, the improvement required, the timescale for improvement, and the consequences of failure to improve. A first written warning will normally remain on your file for 6 months.</w:t>
      </w:r>
    </w:p>
    <w:p>
      <w:pPr>
        <w:spacing w:after="120"/>
      </w:pPr>
      <w:r>
        <w:t>Stage 2 — Final Written Warning: If there is a further offence or failure to improve during the currency of a first written warning, or if the matter is sufficiently serious to warrant it, you will be given a final written warning. This will set out the nature of the concern, the improvement required, and a clear statement that further misconduct or failure to improve may result in dismissal. A final written warning will normally remain on your file for 12 months.</w:t>
      </w:r>
    </w:p>
    <w:p>
      <w:pPr>
        <w:spacing w:after="120"/>
      </w:pPr>
      <w:r>
        <w:t>Stage 3 — Dismissal: If there is further misconduct or failure to improve during the currency of a final written warning, or in cases of gross misconduct, you may be dismissed. The decision to dismiss will be taken by a Director and confirmed in writing. You will be entitled to your contractual notice period unless dismissed for gross misconduct, in which case dismissal will be without notice.</w:t>
      </w:r>
    </w:p>
    <w:p>
      <w:pPr>
        <w:pStyle w:val="Heading2"/>
      </w:pPr>
      <w:r>
        <w:t>4.6 Gross Misconduct</w:t>
      </w:r>
    </w:p>
    <w:p>
      <w:pPr>
        <w:spacing w:after="120"/>
      </w:pPr>
      <w:r>
        <w:t>In cases of gross misconduct, the company reserves the right to dismiss without notice or pay in lieu of notice. Gross misconduct is conduct so serious that it fundamentally undermines the employment relationship. Examples are set out in Section 3.7 above. This list is not exhaustive.</w:t>
      </w:r>
    </w:p>
    <w:p>
      <w:pPr>
        <w:pStyle w:val="Heading2"/>
      </w:pPr>
      <w:r>
        <w:t>4.7 Appeals</w:t>
      </w:r>
    </w:p>
    <w:p>
      <w:pPr>
        <w:spacing w:after="120"/>
      </w:pPr>
      <w:r>
        <w:t>You have the right to appeal against any disciplinary decision. Appeals must be made in writing within 5 working days of receiving the disciplinary decision, setting out the grounds for appeal. The appeal will be heard by a Director who was not involved in the original decision. The outcome of the appeal is final.</w:t>
      </w:r>
    </w:p>
    <w:p>
      <w:r>
        <w:br w:type="page"/>
      </w:r>
    </w:p>
    <w:p>
      <w:pPr>
        <w:pStyle w:val="Heading1"/>
      </w:pPr>
      <w:r>
        <w:t>5. Grievance Policy</w:t>
      </w:r>
    </w:p>
    <w:p>
      <w:pPr>
        <w:spacing w:after="120"/>
      </w:pPr>
      <w:r>
        <w:t>Hillway is committed to providing a fair and supportive working environment. If you have a concern, problem, or complaint about your work, working conditions, or relationships with colleagues, we want to hear about it and resolve it as quickly as possible.</w:t>
      </w:r>
    </w:p>
    <w:p>
      <w:pPr>
        <w:pStyle w:val="Heading2"/>
      </w:pPr>
      <w:r>
        <w:t>5.1 Informal Resolution</w:t>
      </w:r>
    </w:p>
    <w:p>
      <w:pPr>
        <w:spacing w:after="120"/>
      </w:pPr>
      <w:r>
        <w:t>Many concerns can be resolved informally through discussion with your line manager. If you feel comfortable doing so, raise the matter directly and give your manager the opportunity to understand and address your concern. In many cases, this is the quickest and most effective way to resolve issues.</w:t>
      </w:r>
    </w:p>
    <w:p>
      <w:pPr>
        <w:pStyle w:val="Heading2"/>
      </w:pPr>
      <w:r>
        <w:t>5.2 Formal Grievance Procedure</w:t>
      </w:r>
    </w:p>
    <w:p>
      <w:pPr>
        <w:spacing w:after="120"/>
      </w:pPr>
      <w:r>
        <w:t>If informal resolution is not appropriate or has not resolved the matter, you may raise a formal grievance. Your grievance should be submitted in writing to Matt Fitzgerald MRICS (Managing Director), setting out the nature of the grievance and the outcome you are seeking.</w:t>
      </w:r>
    </w:p>
    <w:p>
      <w:pPr>
        <w:spacing w:after="120"/>
      </w:pPr>
      <w:r>
        <w:t>Where the grievance relates to the Managing Director, it should be raised with Jamie Smyth MRICS (Director).</w:t>
      </w:r>
    </w:p>
    <w:p>
      <w:pPr>
        <w:pStyle w:val="Heading2"/>
      </w:pPr>
      <w:r>
        <w:t>5.3 Grievance Meeting</w:t>
      </w:r>
    </w:p>
    <w:p>
      <w:pPr>
        <w:spacing w:after="120"/>
      </w:pPr>
      <w:r>
        <w:t>A grievance meeting will be arranged within 5 working days of receiving your written grievance. You have the right to be accompanied by a work colleague or trade union representative. The meeting will be conducted by a Director (or an appropriate alternative where there is a conflict of interest).</w:t>
      </w:r>
    </w:p>
    <w:p>
      <w:pPr>
        <w:pStyle w:val="Heading2"/>
      </w:pPr>
      <w:r>
        <w:t>5.4 Decision</w:t>
      </w:r>
    </w:p>
    <w:p>
      <w:pPr>
        <w:spacing w:after="120"/>
      </w:pPr>
      <w:r>
        <w:t>Following the grievance meeting, the decision will be communicated to you in writing within 5 working days. The response will set out the findings, the decision, and any actions to be taken.</w:t>
      </w:r>
    </w:p>
    <w:p>
      <w:pPr>
        <w:pStyle w:val="Heading2"/>
      </w:pPr>
      <w:r>
        <w:t>5.5 Appeal</w:t>
      </w:r>
    </w:p>
    <w:p>
      <w:pPr>
        <w:spacing w:after="120"/>
      </w:pPr>
      <w:r>
        <w:t>If you are not satisfied with the outcome, you may appeal in writing within 5 working days of receiving the decision. The appeal will be heard by a Director who was not involved in the original decision, or by an external adviser if no suitable internal person is available. The appeal decision is final.</w:t>
      </w:r>
    </w:p>
    <w:p>
      <w:r>
        <w:br w:type="page"/>
      </w:r>
    </w:p>
    <w:p>
      <w:pPr>
        <w:pStyle w:val="Heading1"/>
      </w:pPr>
      <w:r>
        <w:t>6. Health and Safety</w:t>
      </w:r>
    </w:p>
    <w:p>
      <w:pPr>
        <w:spacing w:after="120"/>
      </w:pPr>
      <w:r>
        <w:t>Hillway is committed to providing a safe and healthy working environment for all employees, visitors, and anyone affected by our activities. This policy complies with the Health and Safety at Work etc. Act 1974 and associated regulations.</w:t>
      </w:r>
    </w:p>
    <w:p>
      <w:pPr>
        <w:pStyle w:val="Heading2"/>
      </w:pPr>
      <w:r>
        <w:t>6.1 Employer Responsibilities</w:t>
      </w:r>
    </w:p>
    <w:p>
      <w:pPr>
        <w:pStyle w:val="ListBullet"/>
        <w:spacing w:after="60"/>
      </w:pPr>
      <w:r>
        <w:t>Provide a safe working environment and safe systems of work</w:t>
      </w:r>
    </w:p>
    <w:p>
      <w:pPr>
        <w:pStyle w:val="ListBullet"/>
        <w:spacing w:after="60"/>
      </w:pPr>
      <w:r>
        <w:t>Ensure risks are assessed and appropriate controls are in place</w:t>
      </w:r>
    </w:p>
    <w:p>
      <w:pPr>
        <w:pStyle w:val="ListBullet"/>
        <w:spacing w:after="60"/>
      </w:pPr>
      <w:r>
        <w:t>Provide adequate information, instruction, training, and supervision</w:t>
      </w:r>
    </w:p>
    <w:p>
      <w:pPr>
        <w:pStyle w:val="ListBullet"/>
        <w:spacing w:after="60"/>
      </w:pPr>
      <w:r>
        <w:t>Maintain the workplace in a condition that is safe and without risk to health</w:t>
      </w:r>
    </w:p>
    <w:p>
      <w:pPr>
        <w:pStyle w:val="ListBullet"/>
        <w:spacing w:after="60"/>
      </w:pPr>
      <w:r>
        <w:t>Provide adequate welfare facilities</w:t>
      </w:r>
    </w:p>
    <w:p>
      <w:pPr>
        <w:pStyle w:val="Heading2"/>
      </w:pPr>
      <w:r>
        <w:t>6.2 Employee Responsibilities</w:t>
      </w:r>
    </w:p>
    <w:p>
      <w:pPr>
        <w:pStyle w:val="ListBullet"/>
        <w:spacing w:after="60"/>
      </w:pPr>
      <w:r>
        <w:t>Take reasonable care of your own health and safety and that of others</w:t>
      </w:r>
    </w:p>
    <w:p>
      <w:pPr>
        <w:pStyle w:val="ListBullet"/>
        <w:spacing w:after="60"/>
      </w:pPr>
      <w:r>
        <w:t>Cooperate with the employer on health and safety matters</w:t>
      </w:r>
    </w:p>
    <w:p>
      <w:pPr>
        <w:pStyle w:val="ListBullet"/>
        <w:spacing w:after="60"/>
      </w:pPr>
      <w:r>
        <w:t>Not intentionally or recklessly interfere with safety provisions</w:t>
      </w:r>
    </w:p>
    <w:p>
      <w:pPr>
        <w:pStyle w:val="ListBullet"/>
        <w:spacing w:after="60"/>
      </w:pPr>
      <w:r>
        <w:t>Report any hazards, accidents, or near misses immediately</w:t>
      </w:r>
    </w:p>
    <w:p>
      <w:pPr>
        <w:pStyle w:val="ListBullet"/>
        <w:spacing w:after="60"/>
      </w:pPr>
      <w:r>
        <w:t>Use equipment and systems of work in accordance with training</w:t>
      </w:r>
    </w:p>
    <w:p>
      <w:pPr>
        <w:pStyle w:val="Heading2"/>
      </w:pPr>
      <w:r>
        <w:t>6.3 Office Safety</w:t>
      </w:r>
    </w:p>
    <w:p>
      <w:pPr>
        <w:spacing w:after="120"/>
      </w:pPr>
      <w:r>
        <w:t>Our office at Cubo is a shared workspace with its own building management and safety procedures. You must familiarise yourself with the building evacuation procedures, fire exit locations, and assembly points during your induction. Specific office hazards to be aware of include trip hazards from cables, proper use of office furniture, and safe storage of files and equipment.</w:t>
      </w:r>
    </w:p>
    <w:p>
      <w:pPr>
        <w:pStyle w:val="Heading2"/>
      </w:pPr>
      <w:r>
        <w:t>6.4 Display Screen Equipment (DSE)</w:t>
      </w:r>
    </w:p>
    <w:p>
      <w:pPr>
        <w:spacing w:after="120"/>
      </w:pPr>
      <w:r>
        <w:t>If you use a computer for a significant part of your working day, you are a DSE user. Hillway will provide a workstation assessment, and you are entitled to an eye test at the company's expense. You should take regular breaks from screen work (at least 5-10 minutes every hour) and report any discomfort or symptoms such as eye strain, headaches, or musculoskeletal pain.</w:t>
      </w:r>
    </w:p>
    <w:p>
      <w:pPr>
        <w:pStyle w:val="Heading2"/>
      </w:pPr>
      <w:r>
        <w:t>6.5 Fire Safety</w:t>
      </w:r>
    </w:p>
    <w:p>
      <w:pPr>
        <w:spacing w:after="120"/>
      </w:pPr>
      <w:r>
        <w:t>You must be familiar with the fire evacuation procedures for the Cubo building, the location of fire exits and fire extinguishers, and the assembly point. Fire evacuation drills are conducted periodically by the building management. You must participate in all drills and evacuations. Never use lifts during a fire evacuation.</w:t>
      </w:r>
    </w:p>
    <w:p>
      <w:pPr>
        <w:pStyle w:val="Heading2"/>
      </w:pPr>
      <w:r>
        <w:t>6.6 First Aid</w:t>
      </w:r>
    </w:p>
    <w:p>
      <w:pPr>
        <w:spacing w:after="120"/>
      </w:pPr>
      <w:r>
        <w:t>First aid facilities are available at Cubo. The office has a first aid kit maintained by the building management. Details of trained first aiders in the building are displayed on notice boards. Report any use of first aid supplies so they can be replenished.</w:t>
      </w:r>
    </w:p>
    <w:p>
      <w:pPr>
        <w:pStyle w:val="Heading2"/>
      </w:pPr>
      <w:r>
        <w:t>6.7 Accident Reporting</w:t>
      </w:r>
    </w:p>
    <w:p>
      <w:pPr>
        <w:spacing w:after="120"/>
      </w:pPr>
      <w:r>
        <w:t>All accidents, injuries, and near misses must be reported immediately to your line manager and recorded in the accident book. Certain incidents must be reported to the Health and Safety Executive under RIDDOR (Reporting of Injuries, Diseases and Dangerous Occurrences Regulations 2013). The Managing Director is responsible for ensuring RIDDOR reports are made where required.</w:t>
      </w:r>
    </w:p>
    <w:p>
      <w:pPr>
        <w:pStyle w:val="Heading2"/>
      </w:pPr>
      <w:r>
        <w:t>6.8 Lone Working and Site Visits</w:t>
      </w:r>
    </w:p>
    <w:p>
      <w:pPr>
        <w:spacing w:after="120"/>
      </w:pPr>
      <w:r>
        <w:t>Property inspections, site visits, and client meetings may involve lone working. Before conducting any site visit, you must inform your line manager of your location and expected return time. Carry a charged mobile phone at all times. Conduct a visual risk assessment upon arrival at any property. Do not enter any area that you consider unsafe — withdraw and report to your line manager.</w:t>
      </w:r>
    </w:p>
    <w:p>
      <w:pPr>
        <w:pStyle w:val="Heading2"/>
      </w:pPr>
      <w:r>
        <w:t>6.9 Driving for Work</w:t>
      </w:r>
    </w:p>
    <w:p>
      <w:pPr>
        <w:spacing w:after="120"/>
      </w:pPr>
      <w:r>
        <w:t>If you drive for work purposes (site inspections, client meetings), you must hold a valid driving licence, have appropriate insurance covering business use, and ensure your vehicle is roadworthy. Report any driving convictions or licence endorsements to the company. Never use a handheld mobile phone while driving.</w:t>
      </w:r>
    </w:p>
    <w:p>
      <w:pPr>
        <w:pStyle w:val="Heading2"/>
      </w:pPr>
      <w:r>
        <w:t>6.10 Mental Health and Wellbeing</w:t>
      </w:r>
    </w:p>
    <w:p>
      <w:pPr>
        <w:spacing w:after="120"/>
      </w:pPr>
      <w:r>
        <w:t>Hillway recognises the importance of mental health and wellbeing. We encourage an open culture where employees feel comfortable discussing mental health concerns. If you are experiencing stress, anxiety, or any mental health difficulties, please speak to your line manager in confidence. We will work with you to identify appropriate support, which may include adjustments to your workload, flexible working, or referral to external support services.</w:t>
      </w:r>
    </w:p>
    <w:p>
      <w:r>
        <w:br w:type="page"/>
      </w:r>
    </w:p>
    <w:p>
      <w:pPr>
        <w:pStyle w:val="Heading1"/>
      </w:pPr>
      <w:r>
        <w:t>7. Data Protection and Information Security</w:t>
      </w:r>
    </w:p>
    <w:p>
      <w:pPr>
        <w:spacing w:after="120"/>
      </w:pPr>
      <w:r>
        <w:t>Hillway is committed to protecting the personal data and confidential information of our employees, clients, tenants, landlords, and other stakeholders. As a RICS Regulated Firm handling sensitive property and financial data, we hold ourselves to the highest standards of data protection and information security.</w:t>
      </w:r>
    </w:p>
    <w:p>
      <w:pPr>
        <w:pStyle w:val="Heading2"/>
      </w:pPr>
      <w:r>
        <w:t>7.1 Legal Framework</w:t>
      </w:r>
    </w:p>
    <w:p>
      <w:pPr>
        <w:spacing w:after="120"/>
      </w:pPr>
      <w:r>
        <w:t>Hillway complies with the UK General Data Protection Regulation (UK GDPR), the Data Protection Act 2018, and the Privacy and Electronic Communications Regulations 2003. The Managing Director is the designated Data Protection Lead.</w:t>
      </w:r>
    </w:p>
    <w:p>
      <w:pPr>
        <w:pStyle w:val="Heading2"/>
      </w:pPr>
      <w:r>
        <w:t>7.2 Data Controller</w:t>
      </w:r>
    </w:p>
    <w:p>
      <w:pPr>
        <w:spacing w:after="120"/>
      </w:pPr>
      <w:r>
        <w:t>Hillway Holdings Ltd is the data controller for all personal data processed in connection with our business activities. We determine the purposes and means of processing personal data and are responsible for ensuring compliance with data protection law.</w:t>
      </w:r>
    </w:p>
    <w:p>
      <w:pPr>
        <w:pStyle w:val="Heading2"/>
      </w:pPr>
      <w:r>
        <w:t>7.3 Your Obligations</w:t>
      </w:r>
    </w:p>
    <w:p>
      <w:pPr>
        <w:spacing w:after="120"/>
      </w:pPr>
      <w:r>
        <w:t>As an employee, you must:</w:t>
      </w:r>
    </w:p>
    <w:p>
      <w:pPr>
        <w:pStyle w:val="ListBullet"/>
        <w:spacing w:after="60"/>
      </w:pPr>
      <w:r>
        <w:t>Only access personal data that you need for your work</w:t>
      </w:r>
    </w:p>
    <w:p>
      <w:pPr>
        <w:pStyle w:val="ListBullet"/>
        <w:spacing w:after="60"/>
      </w:pPr>
      <w:r>
        <w:t>Process personal data in accordance with this policy and any training provided</w:t>
      </w:r>
    </w:p>
    <w:p>
      <w:pPr>
        <w:pStyle w:val="ListBullet"/>
        <w:spacing w:after="60"/>
      </w:pPr>
      <w:r>
        <w:t>Keep personal data secure and confidential</w:t>
      </w:r>
    </w:p>
    <w:p>
      <w:pPr>
        <w:pStyle w:val="ListBullet"/>
        <w:spacing w:after="60"/>
      </w:pPr>
      <w:r>
        <w:t>Not disclose personal data to unauthorised persons, whether inside or outside the company</w:t>
      </w:r>
    </w:p>
    <w:p>
      <w:pPr>
        <w:pStyle w:val="ListBullet"/>
        <w:spacing w:after="60"/>
      </w:pPr>
      <w:r>
        <w:t>Report any actual or suspected data breach immediately to the Managing Director</w:t>
      </w:r>
    </w:p>
    <w:p>
      <w:pPr>
        <w:pStyle w:val="ListBullet"/>
        <w:spacing w:after="60"/>
      </w:pPr>
      <w:r>
        <w:t>Complete data protection training as required</w:t>
      </w:r>
    </w:p>
    <w:p>
      <w:pPr>
        <w:pStyle w:val="ListBullet"/>
        <w:spacing w:after="60"/>
      </w:pPr>
      <w:r>
        <w:t>Not transfer personal data outside the UK without authorisation</w:t>
      </w:r>
    </w:p>
    <w:p>
      <w:pPr>
        <w:pStyle w:val="Heading2"/>
      </w:pPr>
      <w:r>
        <w:t>7.4 Client and Property Data</w:t>
      </w:r>
    </w:p>
    <w:p>
      <w:pPr>
        <w:spacing w:after="120"/>
      </w:pPr>
      <w:r>
        <w:t>As a property consultancy, we handle particularly sensitive categories of information:</w:t>
      </w:r>
    </w:p>
    <w:p>
      <w:pPr>
        <w:pStyle w:val="ListBullet"/>
        <w:spacing w:after="60"/>
      </w:pPr>
      <w:r>
        <w:t>Valuation data — commercially sensitive, may be market-moving</w:t>
      </w:r>
    </w:p>
    <w:p>
      <w:pPr>
        <w:pStyle w:val="ListBullet"/>
        <w:spacing w:after="60"/>
      </w:pPr>
      <w:r>
        <w:t>Rent review evidence — confidential to each party</w:t>
      </w:r>
    </w:p>
    <w:p>
      <w:pPr>
        <w:pStyle w:val="ListBullet"/>
        <w:spacing w:after="60"/>
      </w:pPr>
      <w:r>
        <w:t>Lease terms and heads of terms — confidential negotiation documents</w:t>
      </w:r>
    </w:p>
    <w:p>
      <w:pPr>
        <w:pStyle w:val="ListBullet"/>
        <w:spacing w:after="60"/>
      </w:pPr>
      <w:r>
        <w:t>Acquisition and disposal strategies — potentially insider information</w:t>
      </w:r>
    </w:p>
    <w:p>
      <w:pPr>
        <w:pStyle w:val="ListBullet"/>
        <w:spacing w:after="60"/>
      </w:pPr>
      <w:r>
        <w:t>Tenant personal data — names, addresses, bank details for rent collection</w:t>
      </w:r>
    </w:p>
    <w:p>
      <w:pPr>
        <w:pStyle w:val="ListBullet"/>
        <w:spacing w:after="60"/>
      </w:pPr>
      <w:r>
        <w:t>Client financial information — investment yields, portfolio values</w:t>
      </w:r>
    </w:p>
    <w:p>
      <w:pPr>
        <w:spacing w:after="120"/>
      </w:pPr>
      <w:r>
        <w:t>This data must be treated with the utmost care and handled in accordance with our Information Security Policy.</w:t>
      </w:r>
    </w:p>
    <w:p>
      <w:pPr>
        <w:pStyle w:val="Heading2"/>
      </w:pPr>
      <w:r>
        <w:t>7.5 Data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40AF"/>
          </w:tcPr>
          <w:p>
            <w:pPr>
              <w:jc w:val="left"/>
            </w:pPr>
            <w:r>
              <w:rPr>
                <w:rFonts w:ascii="Calibri" w:hAnsi="Calibri"/>
                <w:b/>
                <w:color w:val="FFFFFF"/>
                <w:sz w:val="20"/>
              </w:rPr>
              <w:t>Classification</w:t>
            </w:r>
          </w:p>
        </w:tc>
        <w:tc>
          <w:tcPr>
            <w:tcW w:type="dxa" w:w="3135"/>
            <w:shd w:fill="1E40AF"/>
          </w:tcPr>
          <w:p>
            <w:pPr>
              <w:jc w:val="left"/>
            </w:pPr>
            <w:r>
              <w:rPr>
                <w:rFonts w:ascii="Calibri" w:hAnsi="Calibri"/>
                <w:b/>
                <w:color w:val="FFFFFF"/>
                <w:sz w:val="20"/>
              </w:rPr>
              <w:t>Description</w:t>
            </w:r>
          </w:p>
        </w:tc>
        <w:tc>
          <w:tcPr>
            <w:tcW w:type="dxa" w:w="3135"/>
            <w:shd w:fill="1E40AF"/>
          </w:tcPr>
          <w:p>
            <w:pPr>
              <w:jc w:val="left"/>
            </w:pPr>
            <w:r>
              <w:rPr>
                <w:rFonts w:ascii="Calibri" w:hAnsi="Calibri"/>
                <w:b/>
                <w:color w:val="FFFFFF"/>
                <w:sz w:val="20"/>
              </w:rPr>
              <w:t>Examples</w:t>
            </w:r>
          </w:p>
        </w:tc>
      </w:tr>
      <w:tr>
        <w:tc>
          <w:tcPr>
            <w:tcW w:type="dxa" w:w="3135"/>
          </w:tcPr>
          <w:p>
            <w:r>
              <w:rPr>
                <w:rFonts w:ascii="Calibri" w:hAnsi="Calibri"/>
                <w:color w:val="333333"/>
                <w:sz w:val="20"/>
              </w:rPr>
              <w:t>Public</w:t>
            </w:r>
          </w:p>
        </w:tc>
        <w:tc>
          <w:tcPr>
            <w:tcW w:type="dxa" w:w="3135"/>
          </w:tcPr>
          <w:p>
            <w:r>
              <w:rPr>
                <w:rFonts w:ascii="Calibri" w:hAnsi="Calibri"/>
                <w:color w:val="333333"/>
                <w:sz w:val="20"/>
              </w:rPr>
              <w:t>Information intended for public release</w:t>
            </w:r>
          </w:p>
        </w:tc>
        <w:tc>
          <w:tcPr>
            <w:tcW w:type="dxa" w:w="3135"/>
          </w:tcPr>
          <w:p>
            <w:r>
              <w:rPr>
                <w:rFonts w:ascii="Calibri" w:hAnsi="Calibri"/>
                <w:color w:val="333333"/>
                <w:sz w:val="20"/>
              </w:rPr>
              <w:t>Marketing materials, website content, published reports</w:t>
            </w:r>
          </w:p>
        </w:tc>
      </w:tr>
      <w:tr>
        <w:tc>
          <w:tcPr>
            <w:tcW w:type="dxa" w:w="3135"/>
          </w:tcPr>
          <w:p>
            <w:r>
              <w:rPr>
                <w:rFonts w:ascii="Calibri" w:hAnsi="Calibri"/>
                <w:color w:val="333333"/>
                <w:sz w:val="20"/>
              </w:rPr>
              <w:t>Internal</w:t>
            </w:r>
          </w:p>
        </w:tc>
        <w:tc>
          <w:tcPr>
            <w:tcW w:type="dxa" w:w="3135"/>
          </w:tcPr>
          <w:p>
            <w:r>
              <w:rPr>
                <w:rFonts w:ascii="Calibri" w:hAnsi="Calibri"/>
                <w:color w:val="333333"/>
                <w:sz w:val="20"/>
              </w:rPr>
              <w:t>Business information not for external release</w:t>
            </w:r>
          </w:p>
        </w:tc>
        <w:tc>
          <w:tcPr>
            <w:tcW w:type="dxa" w:w="3135"/>
          </w:tcPr>
          <w:p>
            <w:r>
              <w:rPr>
                <w:rFonts w:ascii="Calibri" w:hAnsi="Calibri"/>
                <w:color w:val="333333"/>
                <w:sz w:val="20"/>
              </w:rPr>
              <w:t>Team communications, internal procedures, operational data</w:t>
            </w:r>
          </w:p>
        </w:tc>
      </w:tr>
      <w:tr>
        <w:tc>
          <w:tcPr>
            <w:tcW w:type="dxa" w:w="3135"/>
          </w:tcPr>
          <w:p>
            <w:r>
              <w:rPr>
                <w:rFonts w:ascii="Calibri" w:hAnsi="Calibri"/>
                <w:color w:val="333333"/>
                <w:sz w:val="20"/>
              </w:rPr>
              <w:t>Confidential</w:t>
            </w:r>
          </w:p>
        </w:tc>
        <w:tc>
          <w:tcPr>
            <w:tcW w:type="dxa" w:w="3135"/>
          </w:tcPr>
          <w:p>
            <w:r>
              <w:rPr>
                <w:rFonts w:ascii="Calibri" w:hAnsi="Calibri"/>
                <w:color w:val="333333"/>
                <w:sz w:val="20"/>
              </w:rPr>
              <w:t>Sensitive business or personal data</w:t>
            </w:r>
          </w:p>
        </w:tc>
        <w:tc>
          <w:tcPr>
            <w:tcW w:type="dxa" w:w="3135"/>
          </w:tcPr>
          <w:p>
            <w:r>
              <w:rPr>
                <w:rFonts w:ascii="Calibri" w:hAnsi="Calibri"/>
                <w:color w:val="333333"/>
                <w:sz w:val="20"/>
              </w:rPr>
              <w:t>Client data, lease terms, valuations, personnel records, fee structures</w:t>
            </w:r>
          </w:p>
        </w:tc>
      </w:tr>
      <w:tr>
        <w:tc>
          <w:tcPr>
            <w:tcW w:type="dxa" w:w="3135"/>
          </w:tcPr>
          <w:p>
            <w:r>
              <w:rPr>
                <w:rFonts w:ascii="Calibri" w:hAnsi="Calibri"/>
                <w:color w:val="333333"/>
                <w:sz w:val="20"/>
              </w:rPr>
              <w:t>Restricted</w:t>
            </w:r>
          </w:p>
        </w:tc>
        <w:tc>
          <w:tcPr>
            <w:tcW w:type="dxa" w:w="3135"/>
          </w:tcPr>
          <w:p>
            <w:r>
              <w:rPr>
                <w:rFonts w:ascii="Calibri" w:hAnsi="Calibri"/>
                <w:color w:val="333333"/>
                <w:sz w:val="20"/>
              </w:rPr>
              <w:t>Highly sensitive, regulatory implications</w:t>
            </w:r>
          </w:p>
        </w:tc>
        <w:tc>
          <w:tcPr>
            <w:tcW w:type="dxa" w:w="3135"/>
          </w:tcPr>
          <w:p>
            <w:r>
              <w:rPr>
                <w:rFonts w:ascii="Calibri" w:hAnsi="Calibri"/>
                <w:color w:val="333333"/>
                <w:sz w:val="20"/>
              </w:rPr>
              <w:t>Encryption keys, credentials, M&amp;A deal data, AML records</w:t>
            </w:r>
          </w:p>
        </w:tc>
      </w:tr>
    </w:tbl>
    <w:p/>
    <w:p>
      <w:pPr>
        <w:pStyle w:val="Heading2"/>
      </w:pPr>
      <w:r>
        <w:t>7.6 Data Breach Reporting</w:t>
      </w:r>
    </w:p>
    <w:p>
      <w:pPr>
        <w:spacing w:after="120"/>
      </w:pPr>
      <w:r>
        <w:t>A data breach is any incident that leads to the accidental or unlawful destruction, loss, alteration, unauthorised disclosure of, or access to personal data. If you become aware of a data breach or suspected breach, you must report it to the Managing Director immediately. Under UK GDPR, certain breaches must be reported to the Information Commissioner's Office (ICO) within 72 hours.</w:t>
      </w:r>
    </w:p>
    <w:p>
      <w:pPr>
        <w:pStyle w:val="Heading2"/>
      </w:pPr>
      <w:r>
        <w:t>7.7 Subject Access Requests</w:t>
      </w:r>
    </w:p>
    <w:p>
      <w:pPr>
        <w:spacing w:after="120"/>
      </w:pPr>
      <w:r>
        <w:t>Individuals have the right to request access to their personal data. If you receive a subject access request (whether from a client, tenant, or colleague), forward it to the Managing Director immediately. Do not attempt to respond to or fulfil the request yourself. We have one calendar month to respond.</w:t>
      </w:r>
    </w:p>
    <w:p>
      <w:pPr>
        <w:pStyle w:val="Heading2"/>
      </w:pPr>
      <w:r>
        <w:t>7.8 Data Retention</w:t>
      </w:r>
    </w:p>
    <w:p>
      <w:pPr>
        <w:spacing w:after="120"/>
      </w:pPr>
      <w:r>
        <w:t>Personal data must not be kept for longer than is necessary for the purpose for which it was collected. Retention periods are set out in the firm's Data Retention Schedule. When data is no longer required, it must be securely deleted or destroyed. Paper documents must be shredded; electronic data must be permanently deleted from all systems including backups where practicable.</w:t>
      </w:r>
    </w:p>
    <w:p>
      <w:pPr>
        <w:pStyle w:val="Heading2"/>
      </w:pPr>
      <w:r>
        <w:t>7.9 Clean Desk and Secure Disposal</w:t>
      </w:r>
    </w:p>
    <w:p>
      <w:pPr>
        <w:spacing w:after="120"/>
      </w:pPr>
      <w:r>
        <w:t>All employees must maintain a clean desk policy. Confidential and Restricted documents must not be left unattended on desks, in printers, or in unlocked drawers. At the end of each working day, secure all sensitive documents. Shred confidential documents using the office shredder rather than placing them in general waste.</w:t>
      </w:r>
    </w:p>
    <w:p>
      <w:r>
        <w:br w:type="page"/>
      </w:r>
    </w:p>
    <w:p>
      <w:pPr>
        <w:pStyle w:val="Heading1"/>
      </w:pPr>
      <w:r>
        <w:t>8. Equal Opportunities</w:t>
      </w:r>
    </w:p>
    <w:p>
      <w:pPr>
        <w:spacing w:after="120"/>
      </w:pPr>
      <w:r>
        <w:t>Hillway is committed to promoting equality of opportunity and eliminating unlawful discrimination in all its activities. We aim to create a working environment in which all individuals are treated with dignity and respect and which is free from discrimination, harassment, victimisation, and bullying.</w:t>
      </w:r>
    </w:p>
    <w:p>
      <w:pPr>
        <w:pStyle w:val="Heading2"/>
      </w:pPr>
      <w:r>
        <w:t>8.1 Legal Framework</w:t>
      </w:r>
    </w:p>
    <w:p>
      <w:pPr>
        <w:spacing w:after="120"/>
      </w:pPr>
      <w:r>
        <w:t>This policy is underpinned by the Equality Act 2010 which protects individuals from discrimination on the grounds of the following protected characteristics:</w:t>
      </w:r>
    </w:p>
    <w:p>
      <w:pPr>
        <w:pStyle w:val="ListBullet"/>
        <w:spacing w:after="60"/>
      </w:pPr>
      <w:r>
        <w:t>Age</w:t>
      </w:r>
    </w:p>
    <w:p>
      <w:pPr>
        <w:pStyle w:val="ListBullet"/>
        <w:spacing w:after="60"/>
      </w:pPr>
      <w:r>
        <w:t>Disability</w:t>
      </w:r>
    </w:p>
    <w:p>
      <w:pPr>
        <w:pStyle w:val="ListBullet"/>
        <w:spacing w:after="60"/>
      </w:pPr>
      <w:r>
        <w:t>Gender reassignment</w:t>
      </w:r>
    </w:p>
    <w:p>
      <w:pPr>
        <w:pStyle w:val="ListBullet"/>
        <w:spacing w:after="60"/>
      </w:pPr>
      <w:r>
        <w:t>Marriage and civil partnership</w:t>
      </w:r>
    </w:p>
    <w:p>
      <w:pPr>
        <w:pStyle w:val="ListBullet"/>
        <w:spacing w:after="60"/>
      </w:pPr>
      <w:r>
        <w:t>Pregnancy and maternity</w:t>
      </w:r>
    </w:p>
    <w:p>
      <w:pPr>
        <w:pStyle w:val="ListBullet"/>
        <w:spacing w:after="60"/>
      </w:pPr>
      <w:r>
        <w:t>Race (including colour, nationality, ethnic or national origin)</w:t>
      </w:r>
    </w:p>
    <w:p>
      <w:pPr>
        <w:pStyle w:val="ListBullet"/>
        <w:spacing w:after="60"/>
      </w:pPr>
      <w:r>
        <w:t>Religion or belief</w:t>
      </w:r>
    </w:p>
    <w:p>
      <w:pPr>
        <w:pStyle w:val="ListBullet"/>
        <w:spacing w:after="60"/>
      </w:pPr>
      <w:r>
        <w:t>Sex</w:t>
      </w:r>
    </w:p>
    <w:p>
      <w:pPr>
        <w:pStyle w:val="ListBullet"/>
        <w:spacing w:after="60"/>
      </w:pPr>
      <w:r>
        <w:t>Sexual orientation</w:t>
      </w:r>
    </w:p>
    <w:p>
      <w:pPr>
        <w:pStyle w:val="Heading2"/>
      </w:pPr>
      <w:r>
        <w:t>8.2 Application</w:t>
      </w:r>
    </w:p>
    <w:p>
      <w:pPr>
        <w:spacing w:after="120"/>
      </w:pPr>
      <w:r>
        <w:t>This policy applies to all aspects of employment including recruitment, selection, training, development, promotion, transfer, pay, benefits, conditions of service, and termination. It also applies to the way we treat clients, tenants, contractors, and any third parties we interact with in the course of our business.</w:t>
      </w:r>
    </w:p>
    <w:p>
      <w:pPr>
        <w:pStyle w:val="Heading2"/>
      </w:pPr>
      <w:r>
        <w:t>8.3 Reasonable Adjustments</w:t>
      </w:r>
    </w:p>
    <w:p>
      <w:pPr>
        <w:spacing w:after="120"/>
      </w:pPr>
      <w:r>
        <w:t>Hillway will make reasonable adjustments to working arrangements or premises to ensure that employees and job applicants with disabilities are not placed at a substantial disadvantage compared to non-disabled persons. If you require any adjustments, please discuss this with your line manager or a Director.</w:t>
      </w:r>
    </w:p>
    <w:p>
      <w:pPr>
        <w:pStyle w:val="Heading2"/>
      </w:pPr>
      <w:r>
        <w:t>8.4 Breaches</w:t>
      </w:r>
    </w:p>
    <w:p>
      <w:pPr>
        <w:spacing w:after="120"/>
      </w:pPr>
      <w:r>
        <w:t>Any employee who believes they have been discriminated against, harassed, or victimised should raise the matter through the Grievance Policy (Section 5). Acts of discrimination, harassment, or victimisation are treated as gross misconduct and may result in summary dismissal.</w:t>
      </w:r>
    </w:p>
    <w:p>
      <w:r>
        <w:br w:type="page"/>
      </w:r>
    </w:p>
    <w:p>
      <w:pPr>
        <w:pStyle w:val="Heading1"/>
      </w:pPr>
      <w:r>
        <w:t>9. Anti-Harassment and Bullying</w:t>
      </w:r>
    </w:p>
    <w:p>
      <w:pPr>
        <w:spacing w:after="120"/>
      </w:pPr>
      <w:r>
        <w:t>Hillway has zero tolerance for harassment and bullying of any kind. All employees have the right to work in an environment free from intimidation, hostility, and offensive behaviour.</w:t>
      </w:r>
    </w:p>
    <w:p>
      <w:pPr>
        <w:pStyle w:val="Heading2"/>
      </w:pPr>
      <w:r>
        <w:t>9.1 Definitions</w:t>
      </w:r>
    </w:p>
    <w:p>
      <w:pPr>
        <w:spacing w:after="120"/>
      </w:pPr>
      <w:r>
        <w:t>Harassment is unwanted conduct related to a protected characteristic that has the purpose or effect of violating an individual's dignity or creating an intimidating, hostile, degrading, humiliating, or offensive environment. It can include verbal remarks, written communications, physical gestures, and online behaviour.</w:t>
      </w:r>
    </w:p>
    <w:p>
      <w:pPr>
        <w:spacing w:after="120"/>
      </w:pPr>
      <w:r>
        <w:t>Bullying is persistent, offensive, abusive, intimidating, or insulting behaviour, abuse of power, or unfair sanctions which make the recipient feel upset, threatened, humiliated, or vulnerable. While bullying is not specifically covered by the Equality Act 2010, Hillway considers it equally unacceptable.</w:t>
      </w:r>
    </w:p>
    <w:p>
      <w:pPr>
        <w:pStyle w:val="Heading2"/>
      </w:pPr>
      <w:r>
        <w:t>9.2 Examples</w:t>
      </w:r>
    </w:p>
    <w:p>
      <w:pPr>
        <w:pStyle w:val="ListBullet"/>
        <w:spacing w:after="60"/>
      </w:pPr>
      <w:r>
        <w:t>Offensive comments, jokes, or language related to protected characteristics</w:t>
      </w:r>
    </w:p>
    <w:p>
      <w:pPr>
        <w:pStyle w:val="ListBullet"/>
        <w:spacing w:after="60"/>
      </w:pPr>
      <w:r>
        <w:t>Unwelcome physical contact</w:t>
      </w:r>
    </w:p>
    <w:p>
      <w:pPr>
        <w:pStyle w:val="ListBullet"/>
        <w:spacing w:after="60"/>
      </w:pPr>
      <w:r>
        <w:t>Display of offensive materials</w:t>
      </w:r>
    </w:p>
    <w:p>
      <w:pPr>
        <w:pStyle w:val="ListBullet"/>
        <w:spacing w:after="60"/>
      </w:pPr>
      <w:r>
        <w:t>Exclusion or isolation from social activities or work-related events</w:t>
      </w:r>
    </w:p>
    <w:p>
      <w:pPr>
        <w:pStyle w:val="ListBullet"/>
        <w:spacing w:after="60"/>
      </w:pPr>
      <w:r>
        <w:t>Spreading malicious rumours</w:t>
      </w:r>
    </w:p>
    <w:p>
      <w:pPr>
        <w:pStyle w:val="ListBullet"/>
        <w:spacing w:after="60"/>
      </w:pPr>
      <w:r>
        <w:t>Unreasonable criticism, humiliation, or micromanagement</w:t>
      </w:r>
    </w:p>
    <w:p>
      <w:pPr>
        <w:pStyle w:val="ListBullet"/>
        <w:spacing w:after="60"/>
      </w:pPr>
      <w:r>
        <w:t>Cyberbullying through email, messaging, social media, or other digital channels</w:t>
      </w:r>
    </w:p>
    <w:p>
      <w:pPr>
        <w:pStyle w:val="ListBullet"/>
        <w:spacing w:after="60"/>
      </w:pPr>
      <w:r>
        <w:t>Third-party harassment (by clients, tenants, contractors, or others)</w:t>
      </w:r>
    </w:p>
    <w:p>
      <w:pPr>
        <w:pStyle w:val="Heading2"/>
      </w:pPr>
      <w:r>
        <w:t>9.3 Reporting</w:t>
      </w:r>
    </w:p>
    <w:p>
      <w:pPr>
        <w:spacing w:after="120"/>
      </w:pPr>
      <w:r>
        <w:t>If you experience or witness harassment or bullying, you should report it to your line manager or a Director. If the complaint involves your line manager, report it to the other Director. Complaints will be taken seriously, investigated promptly, and treated in confidence as far as possible. You will not be penalised for making a complaint in good faith.</w:t>
      </w:r>
    </w:p>
    <w:p>
      <w:pPr>
        <w:pStyle w:val="Heading2"/>
      </w:pPr>
      <w:r>
        <w:t>9.4 Consequences</w:t>
      </w:r>
    </w:p>
    <w:p>
      <w:pPr>
        <w:spacing w:after="120"/>
      </w:pPr>
      <w:r>
        <w:t>Harassment and bullying are treated as gross misconduct and may result in summary dismissal. This applies equally to harassment carried out during work hours, at work-related events, through company systems, or through personal devices where it relates to a colleague or the workplace.</w:t>
      </w:r>
    </w:p>
    <w:p>
      <w:r>
        <w:br w:type="page"/>
      </w:r>
    </w:p>
    <w:p>
      <w:pPr>
        <w:pStyle w:val="Heading1"/>
      </w:pPr>
      <w:r>
        <w:t>10. Absence and Sickness</w:t>
      </w:r>
    </w:p>
    <w:p>
      <w:pPr>
        <w:pStyle w:val="Heading2"/>
      </w:pPr>
      <w:r>
        <w:t>10.1 Reporting Absence</w:t>
      </w:r>
    </w:p>
    <w:p>
      <w:pPr>
        <w:spacing w:after="120"/>
      </w:pPr>
      <w:r>
        <w:t>If you are unable to attend work due to illness or any other reason, you must notify your line manager by telephone before 9:00am on the first day of absence. You should speak to your manager directly where possible rather than sending a text message or email. If your manager is unavailable, contact the other Director. You must provide an estimate of how long you expect to be absent and keep the company informed of your progress.</w:t>
      </w:r>
    </w:p>
    <w:p>
      <w:pPr>
        <w:pStyle w:val="Heading2"/>
      </w:pPr>
      <w:r>
        <w:t>10.2 Self-Certification</w:t>
      </w:r>
    </w:p>
    <w:p>
      <w:pPr>
        <w:spacing w:after="120"/>
      </w:pPr>
      <w:r>
        <w:t>For absences of up to 7 calendar days (including weekends), you must complete a self-certification form on your return to work. Self-certification forms are available from your line manager.</w:t>
      </w:r>
    </w:p>
    <w:p>
      <w:pPr>
        <w:pStyle w:val="Heading2"/>
      </w:pPr>
      <w:r>
        <w:t>10.3 Fit Notes</w:t>
      </w:r>
    </w:p>
    <w:p>
      <w:pPr>
        <w:spacing w:after="120"/>
      </w:pPr>
      <w:r>
        <w:t>For absences exceeding 7 calendar days, you must provide a fit note (formerly sick note) from your GP. Subsequent fit notes must be provided to cover any continuing absence without gaps. You are responsible for ensuring that fit notes are submitted promptly.</w:t>
      </w:r>
    </w:p>
    <w:p>
      <w:pPr>
        <w:pStyle w:val="Heading2"/>
      </w:pPr>
      <w:r>
        <w:t>10.4 Statutory Sick Pay (SSP)</w:t>
      </w:r>
    </w:p>
    <w:p>
      <w:pPr>
        <w:spacing w:after="120"/>
      </w:pPr>
      <w:r>
        <w:t>Provided you meet the qualifying conditions, you are entitled to Statutory Sick Pay (SSP). SSP is paid for qualifying days within a period of incapacity for work. There is no company sick pay scheme in addition to SSP unless otherwise stated in your contract of employment.</w:t>
      </w:r>
    </w:p>
    <w:p>
      <w:pPr>
        <w:pStyle w:val="Heading2"/>
      </w:pPr>
      <w:r>
        <w:t>10.5 Return to Work</w:t>
      </w:r>
    </w:p>
    <w:p>
      <w:pPr>
        <w:spacing w:after="120"/>
      </w:pPr>
      <w:r>
        <w:t>A return-to-work meeting will be held with your line manager following any period of absence. This is an opportunity to ensure you are fit to return, discuss any adjustments needed, and address any underlying concerns. The meeting is supportive in nature, not disciplinary.</w:t>
      </w:r>
    </w:p>
    <w:p>
      <w:pPr>
        <w:pStyle w:val="Heading2"/>
      </w:pPr>
      <w:r>
        <w:t>10.6 Long-Term Sickness</w:t>
      </w:r>
    </w:p>
    <w:p>
      <w:pPr>
        <w:spacing w:after="120"/>
      </w:pPr>
      <w:r>
        <w:t>Where absence is prolonged (4 weeks or more), the company will maintain regular contact with you and may request your consent to obtain a medical report from your GP or an occupational health assessment. The purpose is to understand the nature and expected duration of your absence and to explore any reasonable adjustments that may enable your return to work.</w:t>
      </w:r>
    </w:p>
    <w:p>
      <w:pPr>
        <w:pStyle w:val="Heading2"/>
      </w:pPr>
      <w:r>
        <w:t>10.7 Medical Appointments</w:t>
      </w:r>
    </w:p>
    <w:p>
      <w:pPr>
        <w:spacing w:after="120"/>
      </w:pPr>
      <w:r>
        <w:t>Routine medical and dental appointments should be made outside working hours where possible. Where this is not possible, time off will be granted at the discretion of your line manager provided reasonable notice is given. Time off for antenatal appointments is a statutory right.</w:t>
      </w:r>
    </w:p>
    <w:p>
      <w:pPr>
        <w:pStyle w:val="Heading2"/>
      </w:pPr>
      <w:r>
        <w:t>10.8 Medical Examination</w:t>
      </w:r>
    </w:p>
    <w:p>
      <w:pPr>
        <w:spacing w:after="120"/>
      </w:pPr>
      <w:r>
        <w:t>The company reserves the right to require you to undergo a medical examination by a doctor nominated by the company at any time during your employment. This may be requested where there are concerns about your fitness to perform your duties or where a prolonged absence is under review.</w:t>
      </w:r>
    </w:p>
    <w:p>
      <w:r>
        <w:br w:type="page"/>
      </w:r>
    </w:p>
    <w:p>
      <w:pPr>
        <w:pStyle w:val="Heading1"/>
      </w:pPr>
      <w:r>
        <w:t>11. Company Property and IT Systems</w:t>
      </w:r>
    </w:p>
    <w:p>
      <w:pPr>
        <w:pStyle w:val="Heading2"/>
      </w:pPr>
      <w:r>
        <w:t>11.1 Equipment</w:t>
      </w:r>
    </w:p>
    <w:p>
      <w:pPr>
        <w:spacing w:after="120"/>
      </w:pPr>
      <w:r>
        <w:t>Hillway may provide you with equipment for business use, including laptops, monitors, keyboards, mice, and mobile phones. All equipment remains the property of the company and must be returned in good condition upon request or when your employment ends. You are responsible for the reasonable care and security of company equipment in your possession.</w:t>
      </w:r>
    </w:p>
    <w:p>
      <w:pPr>
        <w:pStyle w:val="Heading2"/>
      </w:pPr>
      <w:r>
        <w:t>11.2 Software and Systems</w:t>
      </w:r>
    </w:p>
    <w:p>
      <w:pPr>
        <w:spacing w:after="120"/>
      </w:pPr>
      <w:r>
        <w:t>Hillway uses a range of software and cloud-based systems in the course of business:</w:t>
      </w:r>
    </w:p>
    <w:p>
      <w:pPr>
        <w:pStyle w:val="ListBullet"/>
        <w:spacing w:after="60"/>
      </w:pPr>
      <w:r>
        <w:t>Google Workspace — email, documents, calendar, drive storage</w:t>
      </w:r>
    </w:p>
    <w:p>
      <w:pPr>
        <w:pStyle w:val="ListBullet"/>
        <w:spacing w:after="60"/>
      </w:pPr>
      <w:r>
        <w:t>Slack — team communication</w:t>
      </w:r>
    </w:p>
    <w:p>
      <w:pPr>
        <w:pStyle w:val="ListBullet"/>
        <w:spacing w:after="60"/>
      </w:pPr>
      <w:r>
        <w:t>Steer AI — property management and AI-powered analytics platform</w:t>
      </w:r>
    </w:p>
    <w:p>
      <w:pPr>
        <w:pStyle w:val="ListBullet"/>
        <w:spacing w:after="60"/>
      </w:pPr>
      <w:r>
        <w:t>ServCharge — service charge management system</w:t>
      </w:r>
    </w:p>
    <w:p>
      <w:pPr>
        <w:pStyle w:val="ListBullet"/>
        <w:spacing w:after="60"/>
      </w:pPr>
      <w:r>
        <w:t>Supabase — database and backend infrastructure</w:t>
      </w:r>
    </w:p>
    <w:p>
      <w:pPr>
        <w:pStyle w:val="ListBullet"/>
        <w:spacing w:after="60"/>
      </w:pPr>
      <w:r>
        <w:t>GitHub — code repository and version control</w:t>
      </w:r>
    </w:p>
    <w:p>
      <w:pPr>
        <w:pStyle w:val="ListBullet"/>
        <w:spacing w:after="60"/>
      </w:pPr>
      <w:r>
        <w:t>Vercel — web application hosting</w:t>
      </w:r>
    </w:p>
    <w:p>
      <w:pPr>
        <w:pStyle w:val="ListBullet"/>
        <w:spacing w:after="60"/>
      </w:pPr>
      <w:r>
        <w:t>Xero — accounting and financial management</w:t>
      </w:r>
    </w:p>
    <w:p>
      <w:pPr>
        <w:spacing w:after="120"/>
      </w:pPr>
      <w:r>
        <w:t>Access to these systems is provided for business purposes. You must comply with all terms of use and security requirements for each system.</w:t>
      </w:r>
    </w:p>
    <w:p>
      <w:pPr>
        <w:pStyle w:val="Heading2"/>
      </w:pPr>
      <w:r>
        <w:t>11.3 Acceptable Use</w:t>
      </w:r>
    </w:p>
    <w:p>
      <w:pPr>
        <w:spacing w:after="120"/>
      </w:pPr>
      <w:r>
        <w:t>Limited personal use of company systems (email, internet) is permitted provided it does not interfere with your work, does not involve accessing inappropriate content, does not consume excessive bandwidth, and complies with all other company policies.</w:t>
      </w:r>
    </w:p>
    <w:p>
      <w:pPr>
        <w:spacing w:after="120"/>
      </w:pPr>
      <w:r>
        <w:t>You must not:</w:t>
      </w:r>
    </w:p>
    <w:p>
      <w:pPr>
        <w:pStyle w:val="ListBullet"/>
        <w:spacing w:after="60"/>
      </w:pPr>
      <w:r>
        <w:t>Install any software on company equipment without prior approval</w:t>
      </w:r>
    </w:p>
    <w:p>
      <w:pPr>
        <w:pStyle w:val="ListBullet"/>
        <w:spacing w:after="60"/>
      </w:pPr>
      <w:r>
        <w:t>Use company systems to access, store, or distribute offensive, illegal, or inappropriate material</w:t>
      </w:r>
    </w:p>
    <w:p>
      <w:pPr>
        <w:pStyle w:val="ListBullet"/>
        <w:spacing w:after="60"/>
      </w:pPr>
      <w:r>
        <w:t>Use personal cloud storage (personal Google Drive, Dropbox, etc.) for company data</w:t>
      </w:r>
    </w:p>
    <w:p>
      <w:pPr>
        <w:pStyle w:val="ListBullet"/>
        <w:spacing w:after="60"/>
      </w:pPr>
      <w:r>
        <w:t>Share login credentials with anyone</w:t>
      </w:r>
    </w:p>
    <w:p>
      <w:pPr>
        <w:pStyle w:val="ListBullet"/>
        <w:spacing w:after="60"/>
      </w:pPr>
      <w:r>
        <w:t>Connect unapproved devices to company networks</w:t>
      </w:r>
    </w:p>
    <w:p>
      <w:pPr>
        <w:pStyle w:val="ListBullet"/>
        <w:spacing w:after="60"/>
      </w:pPr>
      <w:r>
        <w:t>Auto-forward company email to personal accounts</w:t>
      </w:r>
    </w:p>
    <w:p>
      <w:pPr>
        <w:pStyle w:val="Heading2"/>
      </w:pPr>
      <w:r>
        <w:t>11.4 Monitoring</w:t>
      </w:r>
    </w:p>
    <w:p>
      <w:pPr>
        <w:spacing w:after="120"/>
      </w:pPr>
      <w:r>
        <w:t>Hillway reserves the right to monitor the use of company systems, including email, internet usage, and access to company data. Monitoring may be conducted to ensure compliance with policies, protect the security of systems and data, investigate suspected misuse, and comply with legal or regulatory obligations. Monitoring will be carried out in accordance with applicable data protection law.</w:t>
      </w:r>
    </w:p>
    <w:p>
      <w:pPr>
        <w:pStyle w:val="Heading2"/>
      </w:pPr>
      <w:r>
        <w:t>11.5 Password and Security</w:t>
      </w:r>
    </w:p>
    <w:p>
      <w:pPr>
        <w:spacing w:after="120"/>
      </w:pPr>
      <w:r>
        <w:t>You must use strong, unique passwords for all company systems (minimum 12 characters). Multi-factor authentication (MFA) must be enabled on all systems that support it. Never share your passwords or write them down where they can be found. Use a password manager (such as 1Password or Bitwarden) to manage credentials securely. Lock your screen when leaving your workstation unattended (maximum 5 minutes auto-lock).</w:t>
      </w:r>
    </w:p>
    <w:p>
      <w:pPr>
        <w:pStyle w:val="Heading2"/>
      </w:pPr>
      <w:r>
        <w:t>11.6 Return of Equipment</w:t>
      </w:r>
    </w:p>
    <w:p>
      <w:pPr>
        <w:spacing w:after="120"/>
      </w:pPr>
      <w:r>
        <w:t>All company equipment, data, access credentials, and materials must be returned on your last day of employment or earlier if requested. This includes laptops, phones, keys, access cards, and any documents or copies of documents. All company data must be deleted from personal devices.</w:t>
      </w:r>
    </w:p>
    <w:p>
      <w:r>
        <w:br w:type="page"/>
      </w:r>
    </w:p>
    <w:p>
      <w:pPr>
        <w:pStyle w:val="Heading1"/>
      </w:pPr>
      <w:r>
        <w:t>12. Social Media Policy</w:t>
      </w:r>
    </w:p>
    <w:p>
      <w:pPr>
        <w:pStyle w:val="Heading2"/>
      </w:pPr>
      <w:r>
        <w:t>12.1 Business Use</w:t>
      </w:r>
    </w:p>
    <w:p>
      <w:pPr>
        <w:spacing w:after="120"/>
      </w:pPr>
      <w:r>
        <w:t>Hillway uses social media (primarily LinkedIn) for business development, marketing, and professional networking. If you are asked to post on behalf of the company or manage company social media accounts, you must follow the brand guidelines and obtain approval for content before posting. Only authorised individuals may post on behalf of Hillway.</w:t>
      </w:r>
    </w:p>
    <w:p>
      <w:pPr>
        <w:pStyle w:val="Heading2"/>
      </w:pPr>
      <w:r>
        <w:t>12.2 Personal Use</w:t>
      </w:r>
    </w:p>
    <w:p>
      <w:pPr>
        <w:spacing w:after="120"/>
      </w:pPr>
      <w:r>
        <w:t>Hillway respects your right to maintain personal social media accounts. However, you must be aware that your online presence can reflect on the firm, even when posting in a personal capacity. You must not:</w:t>
      </w:r>
    </w:p>
    <w:p>
      <w:pPr>
        <w:pStyle w:val="ListBullet"/>
        <w:spacing w:after="60"/>
      </w:pPr>
      <w:r>
        <w:t>Disclose confidential information about Hillway, its clients, or its business</w:t>
      </w:r>
    </w:p>
    <w:p>
      <w:pPr>
        <w:pStyle w:val="ListBullet"/>
        <w:spacing w:after="60"/>
      </w:pPr>
      <w:r>
        <w:t>Make disparaging or defamatory comments about the firm, colleagues, clients, or competitors</w:t>
      </w:r>
    </w:p>
    <w:p>
      <w:pPr>
        <w:pStyle w:val="ListBullet"/>
        <w:spacing w:after="60"/>
      </w:pPr>
      <w:r>
        <w:t>Post content that could bring the firm into disrepute</w:t>
      </w:r>
    </w:p>
    <w:p>
      <w:pPr>
        <w:pStyle w:val="ListBullet"/>
        <w:spacing w:after="60"/>
      </w:pPr>
      <w:r>
        <w:t>Represent personal views as those of the company</w:t>
      </w:r>
    </w:p>
    <w:p>
      <w:pPr>
        <w:pStyle w:val="ListBullet"/>
        <w:spacing w:after="60"/>
      </w:pPr>
      <w:r>
        <w:t>Use social media in a way that constitutes harassment or bullying of colleagues</w:t>
      </w:r>
    </w:p>
    <w:p>
      <w:pPr>
        <w:spacing w:after="120"/>
      </w:pPr>
      <w:r>
        <w:t>If you identify yourself as a Hillway employee on your personal social media profiles, you should include a disclaimer such as "Views are my own" and ensure your conduct meets the professional standards expected of the firm.</w:t>
      </w:r>
    </w:p>
    <w:p>
      <w:pPr>
        <w:pStyle w:val="Heading2"/>
      </w:pPr>
      <w:r>
        <w:t>12.3 Monitoring and Consequences</w:t>
      </w:r>
    </w:p>
    <w:p>
      <w:pPr>
        <w:spacing w:after="120"/>
      </w:pPr>
      <w:r>
        <w:t>Social media posts that breach this policy may result in disciplinary action, up to and including dismissal. Hillway does not routinely monitor personal social media but may investigate posts that are brought to its attention.</w:t>
      </w:r>
    </w:p>
    <w:p>
      <w:r>
        <w:br w:type="page"/>
      </w:r>
    </w:p>
    <w:p>
      <w:pPr>
        <w:pStyle w:val="Heading1"/>
      </w:pPr>
      <w:r>
        <w:t>13. Whistleblowing</w:t>
      </w:r>
    </w:p>
    <w:p>
      <w:pPr>
        <w:spacing w:after="120"/>
      </w:pPr>
      <w:r>
        <w:t>Hillway is committed to conducting business with honesty and integrity and encourages a culture of openness. We want all employees to feel confident that they can raise concerns about wrongdoing without fear of reprisal.</w:t>
      </w:r>
    </w:p>
    <w:p>
      <w:pPr>
        <w:pStyle w:val="Heading2"/>
      </w:pPr>
      <w:r>
        <w:t>13.1 What is Whistleblowing?</w:t>
      </w:r>
    </w:p>
    <w:p>
      <w:pPr>
        <w:spacing w:after="120"/>
      </w:pPr>
      <w:r>
        <w:t>Whistleblowing is the reporting of suspected wrongdoing or dangers at work. Under the Employment Rights Act 1996 (Part IVA), workers who make a "protected disclosure" are protected from detriment and unfair dismissal. A protected disclosure is a disclosure of information which, in the reasonable belief of the worker, is made in the public interest and tends to show one or more of the following:</w:t>
      </w:r>
    </w:p>
    <w:p>
      <w:pPr>
        <w:pStyle w:val="ListBullet"/>
        <w:spacing w:after="60"/>
      </w:pPr>
      <w:r>
        <w:t>A criminal offence has been committed, is being committed, or is likely to be committed</w:t>
      </w:r>
    </w:p>
    <w:p>
      <w:pPr>
        <w:pStyle w:val="ListBullet"/>
        <w:spacing w:after="60"/>
      </w:pPr>
      <w:r>
        <w:t>A person has failed, is failing, or is likely to fail to comply with a legal obligation</w:t>
      </w:r>
    </w:p>
    <w:p>
      <w:pPr>
        <w:pStyle w:val="ListBullet"/>
        <w:spacing w:after="60"/>
      </w:pPr>
      <w:r>
        <w:t>A miscarriage of justice has occurred, is occurring, or is likely to occur</w:t>
      </w:r>
    </w:p>
    <w:p>
      <w:pPr>
        <w:pStyle w:val="ListBullet"/>
        <w:spacing w:after="60"/>
      </w:pPr>
      <w:r>
        <w:t>The health or safety of any individual has been, is being, or is likely to be endangered</w:t>
      </w:r>
    </w:p>
    <w:p>
      <w:pPr>
        <w:pStyle w:val="ListBullet"/>
        <w:spacing w:after="60"/>
      </w:pPr>
      <w:r>
        <w:t>The environment has been, is being, or is likely to be damaged</w:t>
      </w:r>
    </w:p>
    <w:p>
      <w:pPr>
        <w:pStyle w:val="ListBullet"/>
        <w:spacing w:after="60"/>
      </w:pPr>
      <w:r>
        <w:t>Information tending to show any of the above has been, is being, or is likely to be deliberately concealed</w:t>
      </w:r>
    </w:p>
    <w:p>
      <w:pPr>
        <w:pStyle w:val="Heading2"/>
      </w:pPr>
      <w:r>
        <w:t>13.2 Internal Reporting</w:t>
      </w:r>
    </w:p>
    <w:p>
      <w:pPr>
        <w:spacing w:after="120"/>
      </w:pPr>
      <w:r>
        <w:t>You should raise concerns in the first instance with Matt Fitzgerald MRICS (Managing Director). If the concern relates to the Managing Director, you should raise it with Jamie Smyth MRICS (Director). Concerns can be raised verbally or in writing and will be treated in confidence as far as possible.</w:t>
      </w:r>
    </w:p>
    <w:p>
      <w:pPr>
        <w:pStyle w:val="Heading2"/>
      </w:pPr>
      <w:r>
        <w:t>13.3 External Reporting</w:t>
      </w:r>
    </w:p>
    <w:p>
      <w:pPr>
        <w:spacing w:after="120"/>
      </w:pPr>
      <w:r>
        <w:t>If you feel unable to raise the matter internally, or if you have raised it and believe it has not been adequately addressed, you may make a disclosure to an appropriate external body, including:</w:t>
      </w:r>
    </w:p>
    <w:p>
      <w:pPr>
        <w:pStyle w:val="ListBullet"/>
        <w:spacing w:after="60"/>
      </w:pPr>
      <w:r>
        <w:t>RICS — for matters relating to professional conduct and regulation</w:t>
      </w:r>
    </w:p>
    <w:p>
      <w:pPr>
        <w:pStyle w:val="ListBullet"/>
        <w:spacing w:after="60"/>
      </w:pPr>
      <w:r>
        <w:t>Information Commissioner's Office (ICO) — for data protection breaches</w:t>
      </w:r>
    </w:p>
    <w:p>
      <w:pPr>
        <w:pStyle w:val="ListBullet"/>
        <w:spacing w:after="60"/>
      </w:pPr>
      <w:r>
        <w:t>Financial Conduct Authority (FCA) — for financial irregularities</w:t>
      </w:r>
    </w:p>
    <w:p>
      <w:pPr>
        <w:pStyle w:val="ListBullet"/>
        <w:spacing w:after="60"/>
      </w:pPr>
      <w:r>
        <w:t>Health and Safety Executive (HSE) — for health and safety concerns</w:t>
      </w:r>
    </w:p>
    <w:p>
      <w:pPr>
        <w:pStyle w:val="ListBullet"/>
        <w:spacing w:after="60"/>
      </w:pPr>
      <w:r>
        <w:t>HM Revenue &amp; Customs (HMRC) — for tax irregularities</w:t>
      </w:r>
    </w:p>
    <w:p>
      <w:pPr>
        <w:pStyle w:val="ListBullet"/>
        <w:spacing w:after="60"/>
      </w:pPr>
      <w:r>
        <w:t>National Crime Agency (NCA) — for suspected money laundering</w:t>
      </w:r>
    </w:p>
    <w:p>
      <w:pPr>
        <w:pStyle w:val="Heading2"/>
      </w:pPr>
      <w:r>
        <w:t>13.4 Protection</w:t>
      </w:r>
    </w:p>
    <w:p>
      <w:pPr>
        <w:spacing w:after="120"/>
      </w:pPr>
      <w:r>
        <w:t>Hillway will not tolerate any form of retaliation against a whistleblower. If you make a disclosure in good faith and in accordance with this policy, you will not be subjected to any detriment as a result, regardless of the outcome of any investigation. Any employee who retaliates against a whistleblower will be subject to disciplinary action.</w:t>
      </w:r>
    </w:p>
    <w:p>
      <w:pPr>
        <w:pStyle w:val="Heading2"/>
      </w:pPr>
      <w:r>
        <w:t>13.5 False or Malicious Disclosures</w:t>
      </w:r>
    </w:p>
    <w:p>
      <w:pPr>
        <w:spacing w:after="120"/>
      </w:pPr>
      <w:r>
        <w:t>Allegations that are found to be malicious or made in bad faith may result in disciplinary action. However, no action will be taken against anyone who raises a genuine concern, even if the investigation concludes that the concern was unfounded.</w:t>
      </w:r>
    </w:p>
    <w:p>
      <w:r>
        <w:br w:type="page"/>
      </w:r>
    </w:p>
    <w:p>
      <w:pPr>
        <w:pStyle w:val="Heading1"/>
      </w:pPr>
      <w:r>
        <w:t>14. Drug and Alcohol Policy</w:t>
      </w:r>
    </w:p>
    <w:p>
      <w:pPr>
        <w:spacing w:after="120"/>
      </w:pPr>
      <w:r>
        <w:t>Hillway is committed to maintaining a professional working environment that is free from the effects of alcohol and drugs. Being under the influence of alcohol or drugs at work can impair judgment, affect professional performance, damage client relationships, and put individuals at risk.</w:t>
      </w:r>
    </w:p>
    <w:p>
      <w:pPr>
        <w:pStyle w:val="Heading2"/>
      </w:pPr>
      <w:r>
        <w:t>14.1 Standards</w:t>
      </w:r>
    </w:p>
    <w:p>
      <w:pPr>
        <w:pStyle w:val="ListBullet"/>
        <w:spacing w:after="60"/>
      </w:pPr>
      <w:r>
        <w:t>You must not attend work or represent the company while under the influence of alcohol or drugs</w:t>
      </w:r>
    </w:p>
    <w:p>
      <w:pPr>
        <w:pStyle w:val="ListBullet"/>
        <w:spacing w:after="60"/>
      </w:pPr>
      <w:r>
        <w:t>The possession, use, sale, or distribution of illegal drugs on company premises or at work-related events is strictly prohibited</w:t>
      </w:r>
    </w:p>
    <w:p>
      <w:pPr>
        <w:pStyle w:val="ListBullet"/>
        <w:spacing w:after="60"/>
      </w:pPr>
      <w:r>
        <w:t>Excessive alcohol consumption at work-related events (including client entertaining, social events, and conferences) is unacceptable</w:t>
      </w:r>
    </w:p>
    <w:p>
      <w:pPr>
        <w:pStyle w:val="ListBullet"/>
        <w:spacing w:after="60"/>
      </w:pPr>
      <w:r>
        <w:t>You must not consume alcohol during the working day, including at lunchtime, if you are returning to work or attending client meetings</w:t>
      </w:r>
    </w:p>
    <w:p>
      <w:pPr>
        <w:pStyle w:val="Heading2"/>
      </w:pPr>
      <w:r>
        <w:t>14.2 Prescription and Over-the-Counter Medication</w:t>
      </w:r>
    </w:p>
    <w:p>
      <w:pPr>
        <w:spacing w:after="120"/>
      </w:pPr>
      <w:r>
        <w:t>If you are taking prescription or over-the-counter medication that may affect your ability to perform your duties safely and effectively, you must inform your line manager. This information will be treated confidentially. We may need to make temporary adjustments to your duties during the period of medication.</w:t>
      </w:r>
    </w:p>
    <w:p>
      <w:pPr>
        <w:pStyle w:val="Heading2"/>
      </w:pPr>
      <w:r>
        <w:t>14.3 Support and Rehabilitation</w:t>
      </w:r>
    </w:p>
    <w:p>
      <w:pPr>
        <w:spacing w:after="120"/>
      </w:pPr>
      <w:r>
        <w:t>Hillway recognises that alcohol and drug dependency are treatable conditions. If you have a dependency problem, we encourage you to seek help voluntarily. If you come forward before any disciplinary issue arises, the company will treat the matter sympathetically and may support access to appropriate treatment, subject to medical advice. However, this does not excuse any conduct that would otherwise warrant disciplinary action.</w:t>
      </w:r>
    </w:p>
    <w:p>
      <w:pPr>
        <w:pStyle w:val="Heading2"/>
      </w:pPr>
      <w:r>
        <w:t>14.4 Consequences</w:t>
      </w:r>
    </w:p>
    <w:p>
      <w:pPr>
        <w:spacing w:after="120"/>
      </w:pPr>
      <w:r>
        <w:t>Attending work under the influence of alcohol or drugs, or the possession or use of illegal drugs, will be treated as gross misconduct and may result in summary dismissal. The company reserves the right to require an employee to undergo testing where there is reasonable suspicion of alcohol or drug use affecting work performance or safety.</w:t>
      </w:r>
    </w:p>
    <w:p>
      <w:r>
        <w:br w:type="page"/>
      </w:r>
    </w:p>
    <w:p>
      <w:pPr>
        <w:pStyle w:val="Heading1"/>
      </w:pPr>
      <w:r>
        <w:t>15. Client Complaints Handling</w:t>
      </w:r>
    </w:p>
    <w:p>
      <w:pPr>
        <w:spacing w:after="120"/>
      </w:pPr>
      <w:r>
        <w:t>Hillway is committed to providing a high standard of service. However, if a client is dissatisfied, we want to resolve the matter fairly and promptly. This procedure complies with RICS requirements for complaints handling, which require all regulated firms to operate a Complaints Handling Procedure (CHP).</w:t>
      </w:r>
    </w:p>
    <w:p>
      <w:pPr>
        <w:pStyle w:val="Heading2"/>
      </w:pPr>
      <w:r>
        <w:t>15.1 Stage 1 — Internal Resolution</w:t>
      </w:r>
    </w:p>
    <w:p>
      <w:pPr>
        <w:spacing w:after="120"/>
      </w:pPr>
      <w:r>
        <w:t>The complaint should be directed to the surveyor or team member responsible for the matter. If the client is not satisfied with the initial response, the complaint should be escalated to the Managing Director (or another Director if the complaint involves the Managing Director). The complaint will be acknowledged in writing within 3 working days. A full written response will be provided within 15 working days of receipt of the complaint. If the investigation requires more time, the client will be informed and given a revised timescale.</w:t>
      </w:r>
    </w:p>
    <w:p>
      <w:pPr>
        <w:pStyle w:val="Heading2"/>
      </w:pPr>
      <w:r>
        <w:t>15.2 Stage 2 — Director Review</w:t>
      </w:r>
    </w:p>
    <w:p>
      <w:pPr>
        <w:spacing w:after="120"/>
      </w:pPr>
      <w:r>
        <w:t>If the client remains dissatisfied with the Stage 1 response, they may request a Director review. The review will be conducted by a Director who was not involved in the original matter. A written response will be provided within 15 working days of the appeal being received.</w:t>
      </w:r>
    </w:p>
    <w:p>
      <w:pPr>
        <w:pStyle w:val="Heading2"/>
      </w:pPr>
      <w:r>
        <w:t>15.3 Stage 3 — External Redress</w:t>
      </w:r>
    </w:p>
    <w:p>
      <w:pPr>
        <w:spacing w:after="120"/>
      </w:pPr>
      <w:r>
        <w:t>If the matter cannot be resolved through the internal procedure, the client may refer their complaint to an approved independent redress scheme. As a RICS Regulated Firm, Hillway participates in The Property Ombudsman (TPO) or the Centre for Effective Dispute Resolution (CEDR). The referral must be made within 12 months of the final internal response. The decision of the independent redress scheme is binding on the firm (up to the applicable financial limit) but not on the client, who retains the right to pursue other legal remedies.</w:t>
      </w:r>
    </w:p>
    <w:p>
      <w:pPr>
        <w:pStyle w:val="Heading2"/>
      </w:pPr>
      <w:r>
        <w:t>15.4 Complaints Register</w:t>
      </w:r>
    </w:p>
    <w:p>
      <w:pPr>
        <w:spacing w:after="120"/>
      </w:pPr>
      <w:r>
        <w:t>All complaints are recorded in a central Complaints Register maintained by the Managing Director. The register includes the date of complaint, nature of the complaint, action taken, outcome, and any lessons learned. The Complaints Register is reviewed annually as part of the firm's quality assurance process and is available for inspection by RICS if requested.</w:t>
      </w:r>
    </w:p>
    <w:p>
      <w:pPr>
        <w:pStyle w:val="Heading2"/>
      </w:pPr>
      <w:r>
        <w:t>15.5 Your Role</w:t>
      </w:r>
    </w:p>
    <w:p>
      <w:pPr>
        <w:spacing w:after="120"/>
      </w:pPr>
      <w:r>
        <w:t>If a client expresses dissatisfaction, take the concern seriously and try to resolve it immediately where possible. If you cannot resolve it, escalate it to a Director without delay. Do not ignore complaints or attempt to dismiss the client's concerns. All complaints, however minor they may seem, should be reported to the Managing Director so they can be recorded and monitored.</w:t>
      </w:r>
    </w:p>
    <w:p>
      <w:r>
        <w:br w:type="page"/>
      </w:r>
    </w:p>
    <w:p>
      <w:pPr>
        <w:pStyle w:val="Heading1"/>
      </w:pPr>
      <w:r>
        <w:t>16. Maternity, Paternity and Shared Parental Leave</w:t>
      </w:r>
    </w:p>
    <w:p>
      <w:pPr>
        <w:spacing w:after="120"/>
      </w:pPr>
      <w:r>
        <w:t>Hillway is committed to supporting employees through significant life events, including the birth or adoption of a child. This section provides an overview of your statutory entitlements. Full details are available on the gov.uk website or by speaking to the Managing Director.</w:t>
      </w:r>
    </w:p>
    <w:p>
      <w:pPr>
        <w:pStyle w:val="Heading2"/>
      </w:pPr>
      <w:r>
        <w:t>16.1 Maternity Leave and Pay</w:t>
      </w:r>
    </w:p>
    <w:p>
      <w:pPr>
        <w:spacing w:after="120"/>
      </w:pPr>
      <w:r>
        <w:t>All pregnant employees are entitled to up to 52 weeks' maternity leave, regardless of length of service. This comprises 26 weeks' Ordinary Maternity Leave (OML) and 26 weeks' Additional Maternity Leave (AML). Statutory Maternity Pay (SMP) is paid for up to 39 weeks: the first 6 weeks at 90% of average weekly earnings, and the remaining 33 weeks at the lower of 90% of average weekly earnings or the current flat rate. To qualify for SMP, you must have been continuously employed for at least 26 weeks by the 15th week before the expected week of childbirth and earn at least the Lower Earnings Limit for National Insurance purposes.</w:t>
      </w:r>
    </w:p>
    <w:p>
      <w:pPr>
        <w:spacing w:after="120"/>
      </w:pPr>
      <w:r>
        <w:t>You must notify the company of your pregnancy and intended start date of maternity leave at least 15 weeks before the expected week of childbirth.</w:t>
      </w:r>
    </w:p>
    <w:p>
      <w:pPr>
        <w:pStyle w:val="Heading2"/>
      </w:pPr>
      <w:r>
        <w:t>16.2 Paternity Leave and Pay</w:t>
      </w:r>
    </w:p>
    <w:p>
      <w:pPr>
        <w:spacing w:after="120"/>
      </w:pPr>
      <w:r>
        <w:t>Eligible employees are entitled to up to 2 weeks' Statutory Paternity Leave, paid at the current statutory rate (or 90% of average weekly earnings if lower). To qualify, you must have been continuously employed for at least 26 weeks by the 15th week before the expected week of childbirth, be the biological father or the mother's partner, and have responsibility for the child's upbringing.</w:t>
      </w:r>
    </w:p>
    <w:p>
      <w:pPr>
        <w:pStyle w:val="Heading2"/>
      </w:pPr>
      <w:r>
        <w:t>16.3 Shared Parental Leave</w:t>
      </w:r>
    </w:p>
    <w:p>
      <w:pPr>
        <w:spacing w:after="120"/>
      </w:pPr>
      <w:r>
        <w:t>Eligible parents may opt into Shared Parental Leave (SPL), which allows up to 50 weeks of leave and 37 weeks of pay to be shared between the parents. SPL provides flexibility in how parents share childcare responsibilities. If you wish to explore SPL, please speak to the Managing Director as early as possible to discuss your options.</w:t>
      </w:r>
    </w:p>
    <w:p>
      <w:pPr>
        <w:pStyle w:val="Heading2"/>
      </w:pPr>
      <w:r>
        <w:t>16.4 Adoption Leave</w:t>
      </w:r>
    </w:p>
    <w:p>
      <w:pPr>
        <w:spacing w:after="120"/>
      </w:pPr>
      <w:r>
        <w:t>Employees who are adopting a child are entitled to Statutory Adoption Leave and Pay on broadly the same basis as maternity leave and pay. One member of a couple must take adoption leave; the other may take paternity leave or shared parental leave.</w:t>
      </w:r>
    </w:p>
    <w:p>
      <w:pPr>
        <w:pStyle w:val="Heading2"/>
      </w:pPr>
      <w:r>
        <w:t>16.5 Antenatal Appointments</w:t>
      </w:r>
    </w:p>
    <w:p>
      <w:pPr>
        <w:spacing w:after="120"/>
      </w:pPr>
      <w:r>
        <w:t>Pregnant employees have the right to paid time off for antenatal appointments. Partners have the right to unpaid time off to accompany pregnant employees to up to 2 antenatal appointments.</w:t>
      </w:r>
    </w:p>
    <w:p>
      <w:pPr>
        <w:pStyle w:val="Heading2"/>
      </w:pPr>
      <w:r>
        <w:t>16.6 Unpaid Parental Leave</w:t>
      </w:r>
    </w:p>
    <w:p>
      <w:pPr>
        <w:spacing w:after="120"/>
      </w:pPr>
      <w:r>
        <w:t>Employees with at least one year's service are entitled to up to 18 weeks' unpaid parental leave per child, taken before the child's 18th birthday. Leave must be taken in blocks of one week (unless the child is disabled) and is limited to 4 weeks per year per child.</w:t>
      </w:r>
    </w:p>
    <w:p>
      <w:r>
        <w:br w:type="page"/>
      </w:r>
    </w:p>
    <w:p>
      <w:pPr>
        <w:pStyle w:val="Heading1"/>
      </w:pPr>
      <w:r>
        <w:t>17. Flexible and Remote Working</w:t>
      </w:r>
    </w:p>
    <w:p>
      <w:pPr>
        <w:spacing w:after="120"/>
      </w:pPr>
      <w:r>
        <w:t>Hillway operates a flexible and hybrid working model that combines the benefits of in-person collaboration with the flexibility of remote working. We believe this approach supports productivity, wellbeing, and work-life balance while maintaining the professional standards expected of a RICS regulated firm.</w:t>
      </w:r>
    </w:p>
    <w:p>
      <w:pPr>
        <w:pStyle w:val="Heading2"/>
      </w:pPr>
      <w:r>
        <w:t>17.1 Right to Request</w:t>
      </w:r>
    </w:p>
    <w:p>
      <w:pPr>
        <w:spacing w:after="120"/>
      </w:pPr>
      <w:r>
        <w:t>Under the Employment Relations (Flexible Working) Act 2023, all employees have the right to request flexible working from their first day of employment. Requests should be made in writing to the Managing Director. The company will consider all requests reasonably and respond within 2 months. Requests may only be refused on one or more of the statutory grounds.</w:t>
      </w:r>
    </w:p>
    <w:p>
      <w:pPr>
        <w:pStyle w:val="Heading2"/>
      </w:pPr>
      <w:r>
        <w:t>17.2 Hybrid Working Arrangements</w:t>
      </w:r>
    </w:p>
    <w:p>
      <w:pPr>
        <w:spacing w:after="120"/>
      </w:pPr>
      <w:r>
        <w:t>The default arrangement for most roles is hybrid working: a combination of office and home working. The specific arrangement will depend on your role, team needs, and client commitments. As a general guideline, staff are expected to be in the office a minimum of 2 days per week. Apprentices are primarily office-based during their probationary period; hybrid arrangements may be agreed after the probation period with line manager approval.</w:t>
      </w:r>
    </w:p>
    <w:p>
      <w:pPr>
        <w:pStyle w:val="Heading2"/>
      </w:pPr>
      <w:r>
        <w:t>17.3 Core Hours</w:t>
      </w:r>
    </w:p>
    <w:p>
      <w:pPr>
        <w:spacing w:after="120"/>
      </w:pPr>
      <w:r>
        <w:t>When working remotely, you must be available via Slack and Google Meet during core hours of 10:00 to 15:00, Monday to Friday. Start and finish times outside core hours are flexible, subject to meeting your contracted hours and work commitments. You must keep your Slack status up to date so colleagues know your availability.</w:t>
      </w:r>
    </w:p>
    <w:p>
      <w:pPr>
        <w:pStyle w:val="Heading2"/>
      </w:pPr>
      <w:r>
        <w:t>17.4 Home Workspace</w:t>
      </w:r>
    </w:p>
    <w:p>
      <w:pPr>
        <w:spacing w:after="120"/>
      </w:pPr>
      <w:r>
        <w:t>If you work from home regularly, you must have a suitable workspace. This means a dedicated work area with an appropriate desk and chair, adequate lighting and ventilation, a reliable internet connection, and a quiet environment suitable for professional calls. The company may provide a monitor, keyboard, and mouse for home use. You must complete a DSE self-assessment for your home workspace.</w:t>
      </w:r>
    </w:p>
    <w:p>
      <w:pPr>
        <w:pStyle w:val="Heading2"/>
      </w:pPr>
      <w:r>
        <w:t>17.5 Data Security</w:t>
      </w:r>
    </w:p>
    <w:p>
      <w:pPr>
        <w:spacing w:after="120"/>
      </w:pPr>
      <w:r>
        <w:t>All provisions of the Information Security Policy apply equally when working remotely. In particular, you must not access or store Confidential or Restricted data on personal devices, you must use a secure connection, you must ensure family members or housemates cannot view your screen when working on sensitive documents, and you must not print Confidential documents at home without prior approval.</w:t>
      </w:r>
    </w:p>
    <w:p>
      <w:pPr>
        <w:pStyle w:val="Heading2"/>
      </w:pPr>
      <w:r>
        <w:t>17.6 Health and Safety</w:t>
      </w:r>
    </w:p>
    <w:p>
      <w:pPr>
        <w:spacing w:after="120"/>
      </w:pPr>
      <w:r>
        <w:t>The company's duty of care extends to your home workspace. You should take regular breaks, maintain good posture, and report any work-related health issues. If you experience isolation, stress, or other mental health concerns related to remote working, please speak to your line manager.</w:t>
      </w:r>
    </w:p>
    <w:p>
      <w:pPr>
        <w:pStyle w:val="Heading2"/>
      </w:pPr>
      <w:r>
        <w:t>17.7 Expenses</w:t>
      </w:r>
    </w:p>
    <w:p>
      <w:pPr>
        <w:spacing w:after="120"/>
      </w:pPr>
      <w:r>
        <w:t>The company does not reimburse home office running costs (broadband, electricity, heating). Travel to the office on designated office days is treated as a normal commute and is not reimbursable. Travel from home to a client site or other work location is reimbursable in accordance with the company expenses policy.</w:t>
      </w:r>
    </w:p>
    <w:p>
      <w:r>
        <w:br w:type="page"/>
      </w:r>
    </w:p>
    <w:p>
      <w:pPr>
        <w:pStyle w:val="Heading1"/>
      </w:pPr>
      <w:r>
        <w:t>18. RICS Compliance</w:t>
      </w:r>
    </w:p>
    <w:p>
      <w:pPr>
        <w:spacing w:after="120"/>
      </w:pPr>
      <w:r>
        <w:t>Hillway is a RICS Regulated Firm. This means we are subject to the regulatory oversight of the Royal Institution of Chartered Surveyors and must comply with the RICS Rules of Conduct and related professional standards. All employees, whether RICS members or not, are required to support the firm's compliance with these obligations.</w:t>
      </w:r>
    </w:p>
    <w:p>
      <w:pPr>
        <w:pStyle w:val="Heading2"/>
      </w:pPr>
      <w:r>
        <w:t>18.1 RICS Rules of Conduct</w:t>
      </w:r>
    </w:p>
    <w:p>
      <w:pPr>
        <w:spacing w:after="120"/>
      </w:pPr>
      <w:r>
        <w:t>The RICS Rules of Conduct (effective February 2022) set out the professional and ethical standards expected of all RICS members and regulated firms. The five overarching rules are:</w:t>
      </w:r>
    </w:p>
    <w:p>
      <w:pPr>
        <w:pStyle w:val="ListBullet"/>
        <w:spacing w:after="60"/>
      </w:pPr>
      <w:r>
        <w:t>Rule 1: Members and firms must be honest, act with integrity, and comply with their professional obligations, including obligations to RICS.</w:t>
      </w:r>
    </w:p>
    <w:p>
      <w:pPr>
        <w:pStyle w:val="ListBullet"/>
        <w:spacing w:after="60"/>
      </w:pPr>
      <w:r>
        <w:t>Rule 2: Members and firms must maintain their professional competence and ensure that services are provided by competent individuals.</w:t>
      </w:r>
    </w:p>
    <w:p>
      <w:pPr>
        <w:pStyle w:val="ListBullet"/>
        <w:spacing w:after="60"/>
      </w:pPr>
      <w:r>
        <w:t>Rule 3: Members and firms must provide good-quality and diligent service.</w:t>
      </w:r>
    </w:p>
    <w:p>
      <w:pPr>
        <w:pStyle w:val="ListBullet"/>
        <w:spacing w:after="60"/>
      </w:pPr>
      <w:r>
        <w:t>Rule 4: Members and firms must treat others with respect and encourage diversity and inclusion.</w:t>
      </w:r>
    </w:p>
    <w:p>
      <w:pPr>
        <w:pStyle w:val="ListBullet"/>
        <w:spacing w:after="60"/>
      </w:pPr>
      <w:r>
        <w:t>Rule 5: Members and firms must act in the public interest, take responsibility for their actions, and act to prevent harm and maintain public confidence in the profession.</w:t>
      </w:r>
    </w:p>
    <w:p>
      <w:pPr>
        <w:pStyle w:val="Heading2"/>
      </w:pPr>
      <w:r>
        <w:t>18.2 CPD Requirements</w:t>
      </w:r>
    </w:p>
    <w:p>
      <w:pPr>
        <w:spacing w:after="120"/>
      </w:pPr>
      <w:r>
        <w:t>RICS members are required to complete a minimum of 20 hours of Continuing Professional Development (CPD) per year. At least 10 hours should be formal (structured learning such as courses, seminars, or conferences) and the remainder may be informal (self-study, mentoring, on-the-job learning). CPD records must be maintained and may be audited by RICS. All staff (including non-RICS members) are encouraged to pursue continuous professional development relevant to their role.</w:t>
      </w:r>
    </w:p>
    <w:p>
      <w:pPr>
        <w:pStyle w:val="Heading2"/>
      </w:pPr>
      <w:r>
        <w:t>18.3 Maintaining Registration</w:t>
      </w:r>
    </w:p>
    <w:p>
      <w:pPr>
        <w:spacing w:after="120"/>
      </w:pPr>
      <w:r>
        <w:t>RICS members must maintain their registration through annual renewal, payment of subscriptions, and compliance with CPD requirements. Failure to maintain registration may result in disciplinary action. If you are an RICS member and your registration lapses or is suspended for any reason, you must notify the Managing Director immediately.</w:t>
      </w:r>
    </w:p>
    <w:p>
      <w:pPr>
        <w:pStyle w:val="Heading2"/>
      </w:pPr>
      <w:r>
        <w:t>18.4 Reporting Obligations</w:t>
      </w:r>
    </w:p>
    <w:p>
      <w:pPr>
        <w:spacing w:after="120"/>
      </w:pPr>
      <w:r>
        <w:t>All employees have a duty to report any conduct that they believe may breach the RICS Rules of Conduct, whether by themselves or a colleague. Reports should be made to the Managing Director in the first instance. RICS members have a professional obligation to cooperate fully with RICS investigations and regulatory requests.</w:t>
      </w:r>
    </w:p>
    <w:p>
      <w:r>
        <w:br w:type="page"/>
      </w:r>
    </w:p>
    <w:p>
      <w:pPr>
        <w:pStyle w:val="Heading1"/>
      </w:pPr>
      <w:r>
        <w:t>19. Anti-Money Laundering</w:t>
      </w:r>
    </w:p>
    <w:p>
      <w:pPr>
        <w:spacing w:after="120"/>
      </w:pPr>
      <w:r>
        <w:t>As a RICS Regulated Firm, Hillway is a "relevant person" under the Money Laundering, Terrorist Financing and Transfer of Funds (Information on the Payer) Regulations 2017 (as amended). We are required to have robust systems and controls to prevent the firm being used for money laundering or terrorist financing.</w:t>
      </w:r>
    </w:p>
    <w:p>
      <w:pPr>
        <w:pStyle w:val="Heading2"/>
      </w:pPr>
      <w:r>
        <w:t>19.1 Money Laundering Reporting Officer (MLRO)</w:t>
      </w:r>
    </w:p>
    <w:p>
      <w:pPr>
        <w:spacing w:after="120"/>
      </w:pPr>
      <w:r>
        <w:t>The firm's MLRO is Matt Fitzgerald MRICS (Managing Director). The Deputy MLRO is Jamie Smyth MRICS (Director). The MLRO is responsible for receiving internal reports of suspected money laundering, assessing whether a Suspicious Activity Report (SAR) should be made to the National Crime Agency (NCA), and maintaining the firm's AML policies and procedures.</w:t>
      </w:r>
    </w:p>
    <w:p>
      <w:pPr>
        <w:pStyle w:val="Heading2"/>
      </w:pPr>
      <w:r>
        <w:t>19.2 Customer Due Diligence (CDD)</w:t>
      </w:r>
    </w:p>
    <w:p>
      <w:pPr>
        <w:spacing w:after="120"/>
      </w:pPr>
      <w:r>
        <w:t>CDD must be carried out before establishing a business relationship with a new client or conducting an occasional transaction. CDD involves:</w:t>
      </w:r>
    </w:p>
    <w:p>
      <w:pPr>
        <w:pStyle w:val="ListBullet"/>
        <w:spacing w:after="60"/>
      </w:pPr>
      <w:r>
        <w:t>Identifying the client and verifying their identity using reliable, independent sources (e.g., passport, driving licence, Companies House records)</w:t>
      </w:r>
    </w:p>
    <w:p>
      <w:pPr>
        <w:pStyle w:val="ListBullet"/>
        <w:spacing w:after="60"/>
      </w:pPr>
      <w:r>
        <w:t>Identifying beneficial owners and taking reasonable measures to verify their identity</w:t>
      </w:r>
    </w:p>
    <w:p>
      <w:pPr>
        <w:pStyle w:val="ListBullet"/>
        <w:spacing w:after="60"/>
      </w:pPr>
      <w:r>
        <w:t>Understanding the purpose and intended nature of the business relationship</w:t>
      </w:r>
    </w:p>
    <w:p>
      <w:pPr>
        <w:pStyle w:val="ListBullet"/>
        <w:spacing w:after="60"/>
      </w:pPr>
      <w:r>
        <w:t>Conducting ongoing monitoring of the relationship</w:t>
      </w:r>
    </w:p>
    <w:p>
      <w:pPr>
        <w:spacing w:after="120"/>
      </w:pPr>
      <w:r>
        <w:t>If CDD cannot be satisfactorily completed, the firm must not proceed with the transaction or business relationship.</w:t>
      </w:r>
    </w:p>
    <w:p>
      <w:pPr>
        <w:pStyle w:val="Heading2"/>
      </w:pPr>
      <w:r>
        <w:t>19.3 Enhanced Due Diligence (EDD)</w:t>
      </w:r>
    </w:p>
    <w:p>
      <w:pPr>
        <w:spacing w:after="120"/>
      </w:pPr>
      <w:r>
        <w:t>EDD is required in higher-risk situations, including:</w:t>
      </w:r>
    </w:p>
    <w:p>
      <w:pPr>
        <w:pStyle w:val="ListBullet"/>
        <w:spacing w:after="60"/>
      </w:pPr>
      <w:r>
        <w:t>Politically Exposed Persons (PEPs) and their family members or close associates</w:t>
      </w:r>
    </w:p>
    <w:p>
      <w:pPr>
        <w:pStyle w:val="ListBullet"/>
        <w:spacing w:after="60"/>
      </w:pPr>
      <w:r>
        <w:t>Clients from high-risk third countries (as identified by HM Treasury or FATF)</w:t>
      </w:r>
    </w:p>
    <w:p>
      <w:pPr>
        <w:pStyle w:val="ListBullet"/>
        <w:spacing w:after="60"/>
      </w:pPr>
      <w:r>
        <w:t>Complex or unusually large transactions without apparent economic purpose</w:t>
      </w:r>
    </w:p>
    <w:p>
      <w:pPr>
        <w:pStyle w:val="ListBullet"/>
        <w:spacing w:after="60"/>
      </w:pPr>
      <w:r>
        <w:t>Non-face-to-face business relationships</w:t>
      </w:r>
    </w:p>
    <w:p>
      <w:pPr>
        <w:pStyle w:val="Heading2"/>
      </w:pPr>
      <w:r>
        <w:t>19.4 Suspicious Activity Reports</w:t>
      </w:r>
    </w:p>
    <w:p>
      <w:pPr>
        <w:spacing w:after="120"/>
      </w:pPr>
      <w:r>
        <w:t>If you know or suspect, or have reasonable grounds for knowing or suspecting, that a person is engaged in money laundering or terrorist financing, you MUST report this to the MLRO immediately. Do NOT discuss your suspicions with the client or any other person — this could constitute the criminal offence of "tipping off" (Proceeds of Crime Act 2002, s.333A). The MLRO will assess the report and, if appropriate, submit a SAR to the NCA.</w:t>
      </w:r>
    </w:p>
    <w:p>
      <w:pPr>
        <w:pStyle w:val="Heading2"/>
      </w:pPr>
      <w:r>
        <w:t>19.5 Record Keeping</w:t>
      </w:r>
    </w:p>
    <w:p>
      <w:pPr>
        <w:spacing w:after="120"/>
      </w:pPr>
      <w:r>
        <w:t>All CDD records must be retained for at least 5 years from the end of the business relationship or the date of the occasional transaction. Records of SARs and internal reports must also be retained for 5 years. Records must be stored securely and be available for inspection by law enforcement or RICS if requested.</w:t>
      </w:r>
    </w:p>
    <w:p>
      <w:pPr>
        <w:pStyle w:val="Heading2"/>
      </w:pPr>
      <w:r>
        <w:t>19.6 Training</w:t>
      </w:r>
    </w:p>
    <w:p>
      <w:pPr>
        <w:spacing w:after="120"/>
      </w:pPr>
      <w:r>
        <w:t>All relevant staff must complete AML training at induction and at least annually thereafter. Training covers the legal framework, how to identify suspicious activity, CDD procedures, and internal reporting. Records of training are maintained by the MLRO.</w:t>
      </w:r>
    </w:p>
    <w:p>
      <w:r>
        <w:br w:type="page"/>
      </w:r>
    </w:p>
    <w:p>
      <w:pPr>
        <w:pStyle w:val="Heading1"/>
      </w:pPr>
      <w:r>
        <w:t>20. Conflicts of Interest</w:t>
      </w:r>
    </w:p>
    <w:p>
      <w:pPr>
        <w:spacing w:after="120"/>
      </w:pPr>
      <w:r>
        <w:t>RICS Rules of Conduct require regulated firms to identify, prevent, and manage conflicts of interest. As a property consultancy acting for multiple clients, the potential for conflicts is inherent in our business. This policy sets out how we identify, declare, and manage conflicts.</w:t>
      </w:r>
    </w:p>
    <w:p>
      <w:pPr>
        <w:pStyle w:val="Heading2"/>
      </w:pPr>
      <w:r>
        <w:t>20.1 Types of Conflict</w:t>
      </w:r>
    </w:p>
    <w:p>
      <w:pPr>
        <w:pStyle w:val="ListBullet"/>
        <w:spacing w:after="60"/>
      </w:pPr>
      <w:r>
        <w:t>Party conflict — Where we act for two or more parties with competing interests (e.g., acting for both landlord and tenant on the same property).</w:t>
      </w:r>
    </w:p>
    <w:p>
      <w:pPr>
        <w:pStyle w:val="ListBullet"/>
        <w:spacing w:after="60"/>
      </w:pPr>
      <w:r>
        <w:t>Own-interest conflict — Where the firm's or an individual's personal interests conflict with those of a client (e.g., acquiring a property on which we have advised a client).</w:t>
      </w:r>
    </w:p>
    <w:p>
      <w:pPr>
        <w:pStyle w:val="ListBullet"/>
        <w:spacing w:after="60"/>
      </w:pPr>
      <w:r>
        <w:t>Confidential information conflict — Where we hold confidential information about one client that could advantage or disadvantage another client.</w:t>
      </w:r>
    </w:p>
    <w:p>
      <w:pPr>
        <w:pStyle w:val="Heading2"/>
      </w:pPr>
      <w:r>
        <w:t>20.2 Conflict Check</w:t>
      </w:r>
    </w:p>
    <w:p>
      <w:pPr>
        <w:spacing w:after="120"/>
      </w:pPr>
      <w:r>
        <w:t>A conflict check must be conducted before accepting any new instruction. The check should consider whether the proposed instruction conflicts with any existing client relationship, whether any member of the team has a personal interest in the matter, and whether we hold confidential information that could create a conflict. The conflict check must be documented in the firm's Conflicts Register.</w:t>
      </w:r>
    </w:p>
    <w:p>
      <w:pPr>
        <w:pStyle w:val="Heading2"/>
      </w:pPr>
      <w:r>
        <w:t>20.3 Managing Conflicts</w:t>
      </w:r>
    </w:p>
    <w:p>
      <w:pPr>
        <w:spacing w:after="120"/>
      </w:pPr>
      <w:r>
        <w:t>Where a conflict is identified, it must be managed appropriately. Options include:</w:t>
      </w:r>
    </w:p>
    <w:p>
      <w:pPr>
        <w:pStyle w:val="ListBullet"/>
        <w:spacing w:after="60"/>
      </w:pPr>
      <w:r>
        <w:t>Obtaining informed consent from all affected parties (in writing)</w:t>
      </w:r>
    </w:p>
    <w:p>
      <w:pPr>
        <w:pStyle w:val="ListBullet"/>
        <w:spacing w:after="60"/>
      </w:pPr>
      <w:r>
        <w:t>Establishing information barriers (Chinese walls) between teams</w:t>
      </w:r>
    </w:p>
    <w:p>
      <w:pPr>
        <w:pStyle w:val="ListBullet"/>
        <w:spacing w:after="60"/>
      </w:pPr>
      <w:r>
        <w:t>Declining the new instruction</w:t>
      </w:r>
    </w:p>
    <w:p>
      <w:pPr>
        <w:pStyle w:val="ListBullet"/>
        <w:spacing w:after="60"/>
      </w:pPr>
      <w:r>
        <w:t>Withdrawing from an existing instruction</w:t>
      </w:r>
    </w:p>
    <w:p>
      <w:pPr>
        <w:spacing w:after="120"/>
      </w:pPr>
      <w:r>
        <w:t>The Managing Director must approve the approach for managing any identified conflict.</w:t>
      </w:r>
    </w:p>
    <w:p>
      <w:pPr>
        <w:pStyle w:val="Heading2"/>
      </w:pPr>
      <w:r>
        <w:t>20.4 Gifts and Hospitality</w:t>
      </w:r>
    </w:p>
    <w:p>
      <w:pPr>
        <w:spacing w:after="120"/>
      </w:pPr>
      <w:r>
        <w:t>All gifts and hospitality given or received with a value exceeding £50 must be recorded in the Gifts and Hospitality Register. Approval from a Director is required for any gift or hospitality exceeding £100. You must never accept gifts or hospitality from parties involved in active negotiations or transactions. Seasonal and festive gifts of modest value (under £50) may be accepted without prior approval but should be recorded.</w:t>
      </w:r>
    </w:p>
    <w:p>
      <w:pPr>
        <w:pStyle w:val="Heading2"/>
      </w:pPr>
      <w:r>
        <w:t>20.5 Personal Property Transactions</w:t>
      </w:r>
    </w:p>
    <w:p>
      <w:pPr>
        <w:spacing w:after="120"/>
      </w:pPr>
      <w:r>
        <w:t>If you wish to buy, sell, let, or acquire any interest in a property where the firm acts or has acted for a client, you must disclose this to the Managing Director and obtain written approval before proceeding. This applies to personal transactions and transactions involving family members or close associates.</w:t>
      </w:r>
    </w:p>
    <w:p>
      <w:pPr>
        <w:pStyle w:val="Heading2"/>
      </w:pPr>
      <w:r>
        <w:t>20.6 Declaration of Interests</w:t>
      </w:r>
    </w:p>
    <w:p>
      <w:pPr>
        <w:spacing w:after="120"/>
      </w:pPr>
      <w:r>
        <w:t>All employees must complete a Declaration of Interests form on joining the firm and update it annually, or immediately if circumstances change. The declaration covers outside business interests, directorships, shareholdings, personal relationships with clients or competitors, and any other matter that could give rise to a conflict.</w:t>
      </w:r>
    </w:p>
    <w:p>
      <w:r>
        <w:br w:type="page"/>
      </w:r>
    </w:p>
    <w:p>
      <w:pPr>
        <w:pStyle w:val="Heading1"/>
      </w:pPr>
      <w:r>
        <w:t>21. Use of AI and Technology</w:t>
      </w:r>
    </w:p>
    <w:p>
      <w:pPr>
        <w:spacing w:after="120"/>
      </w:pPr>
      <w:r>
        <w:t>Hillway embraces artificial intelligence and technology as core tools for delivering better outcomes for our clients and developing our PropTech products. This policy sets out the framework for the responsible and professional use of AI tools within the firm.</w:t>
      </w:r>
    </w:p>
    <w:p>
      <w:pPr>
        <w:pStyle w:val="Heading2"/>
      </w:pPr>
      <w:r>
        <w:t>21.1 Approved AI Tools</w:t>
      </w:r>
    </w:p>
    <w:p>
      <w:pPr>
        <w:spacing w:after="120"/>
      </w:pPr>
      <w:r>
        <w:t>The following AI tools are approved for use at Hillway:</w:t>
      </w:r>
    </w:p>
    <w:p>
      <w:pPr>
        <w:pStyle w:val="ListBullet"/>
        <w:spacing w:after="60"/>
      </w:pPr>
      <w:r>
        <w:t>Claude (Anthropic) — Research, analysis, drafting, code assistance</w:t>
      </w:r>
    </w:p>
    <w:p>
      <w:pPr>
        <w:pStyle w:val="ListBullet"/>
        <w:spacing w:after="60"/>
      </w:pPr>
      <w:r>
        <w:t>ChatGPT (OpenAI) — Research, analysis, drafting</w:t>
      </w:r>
    </w:p>
    <w:p>
      <w:pPr>
        <w:pStyle w:val="ListBullet"/>
        <w:spacing w:after="60"/>
      </w:pPr>
      <w:r>
        <w:t>Gemini (Google) — Research, analysis, image generation</w:t>
      </w:r>
    </w:p>
    <w:p>
      <w:pPr>
        <w:pStyle w:val="ListBullet"/>
        <w:spacing w:after="60"/>
      </w:pPr>
      <w:r>
        <w:t>GitHub Copilot — Code assistance and generation</w:t>
      </w:r>
    </w:p>
    <w:p>
      <w:pPr>
        <w:spacing w:after="120"/>
      </w:pPr>
      <w:r>
        <w:t>Other AI tools may be used with prior approval from the Managing Director. Use of unapproved AI tools for work purposes is prohibited.</w:t>
      </w:r>
    </w:p>
    <w:p>
      <w:pPr>
        <w:pStyle w:val="Heading2"/>
      </w:pPr>
      <w:r>
        <w:t>21.2 Acceptable Uses</w:t>
      </w:r>
    </w:p>
    <w:p>
      <w:pPr>
        <w:pStyle w:val="ListBullet"/>
        <w:spacing w:after="60"/>
      </w:pPr>
      <w:r>
        <w:t>Research and information gathering</w:t>
      </w:r>
    </w:p>
    <w:p>
      <w:pPr>
        <w:pStyle w:val="ListBullet"/>
        <w:spacing w:after="60"/>
      </w:pPr>
      <w:r>
        <w:t>Drafting correspondence, reports, and documents</w:t>
      </w:r>
    </w:p>
    <w:p>
      <w:pPr>
        <w:pStyle w:val="ListBullet"/>
        <w:spacing w:after="60"/>
      </w:pPr>
      <w:r>
        <w:t>Data analysis and summarisation</w:t>
      </w:r>
    </w:p>
    <w:p>
      <w:pPr>
        <w:pStyle w:val="ListBullet"/>
        <w:spacing w:after="60"/>
      </w:pPr>
      <w:r>
        <w:t>Code development and debugging (PropTech)</w:t>
      </w:r>
    </w:p>
    <w:p>
      <w:pPr>
        <w:pStyle w:val="ListBullet"/>
        <w:spacing w:after="60"/>
      </w:pPr>
      <w:r>
        <w:t>Brainstorming, planning, and problem-solving</w:t>
      </w:r>
    </w:p>
    <w:p>
      <w:pPr>
        <w:pStyle w:val="ListBullet"/>
        <w:spacing w:after="60"/>
      </w:pPr>
      <w:r>
        <w:t>Creating marketing content</w:t>
      </w:r>
    </w:p>
    <w:p>
      <w:pPr>
        <w:pStyle w:val="ListBullet"/>
        <w:spacing w:after="60"/>
      </w:pPr>
      <w:r>
        <w:t>Administrative tasks (scheduling, formatting, template creation)</w:t>
      </w:r>
    </w:p>
    <w:p>
      <w:pPr>
        <w:pStyle w:val="Heading2"/>
      </w:pPr>
      <w:r>
        <w:t>21.3 Prohibited Uses</w:t>
      </w:r>
    </w:p>
    <w:p>
      <w:pPr>
        <w:pStyle w:val="ListBullet"/>
        <w:spacing w:after="60"/>
      </w:pPr>
      <w:r>
        <w:t>Inputting client personally identifiable information (names, addresses, financial details, contact information) into AI tools without anonymisation</w:t>
      </w:r>
    </w:p>
    <w:p>
      <w:pPr>
        <w:pStyle w:val="ListBullet"/>
        <w:spacing w:after="60"/>
      </w:pPr>
      <w:r>
        <w:t>Inputting confidential lease terms, valuations, or acquisition strategies without anonymising the data</w:t>
      </w:r>
    </w:p>
    <w:p>
      <w:pPr>
        <w:pStyle w:val="ListBullet"/>
        <w:spacing w:after="60"/>
      </w:pPr>
      <w:r>
        <w:t>Making professional decisions based solely on AI output without human review and verification</w:t>
      </w:r>
    </w:p>
    <w:p>
      <w:pPr>
        <w:pStyle w:val="ListBullet"/>
        <w:spacing w:after="60"/>
      </w:pPr>
      <w:r>
        <w:t>Generating final client-facing reports, valuations, or formal advice without thorough professional review</w:t>
      </w:r>
    </w:p>
    <w:p>
      <w:pPr>
        <w:pStyle w:val="ListBullet"/>
        <w:spacing w:after="60"/>
      </w:pPr>
      <w:r>
        <w:t>Using AI to create misleading, fabricated, or deceptive information</w:t>
      </w:r>
    </w:p>
    <w:p>
      <w:pPr>
        <w:pStyle w:val="ListBullet"/>
        <w:spacing w:after="60"/>
      </w:pPr>
      <w:r>
        <w:t>Sharing proprietary Hillway data or code with AI tools that do not provide adequate data protection (check terms of service)</w:t>
      </w:r>
    </w:p>
    <w:p>
      <w:pPr>
        <w:pStyle w:val="Heading2"/>
      </w:pPr>
      <w:r>
        <w:t>21.4 Client Disclosure</w:t>
      </w:r>
    </w:p>
    <w:p>
      <w:pPr>
        <w:spacing w:after="120"/>
      </w:pPr>
      <w:r>
        <w:t>Where AI tools are used as part of service delivery to a client, the firm's terms of engagement should include appropriate disclosure. Clients should be informed that the firm may use AI tools to assist with research, analysis, and drafting, and that all AI-generated work is reviewed and verified by qualified professionals. Explicit client consent should be obtained before processing client-specific data through AI tools.</w:t>
      </w:r>
    </w:p>
    <w:p>
      <w:pPr>
        <w:pStyle w:val="Heading2"/>
      </w:pPr>
      <w:r>
        <w:t>21.5 Verification and Professional Responsibility</w:t>
      </w:r>
    </w:p>
    <w:p>
      <w:pPr>
        <w:spacing w:after="120"/>
      </w:pPr>
      <w:r>
        <w:t>AI tools can produce inaccurate, incomplete, or misleading outputs. All AI-generated content must be reviewed for accuracy before use. Professional judgement must always be applied. If you use AI to assist with any piece of work, you remain professionally responsible for the quality and accuracy of the final output. "The AI got it wrong" is never an acceptable justification for an error in client work.</w:t>
      </w:r>
    </w:p>
    <w:p>
      <w:pPr>
        <w:pStyle w:val="Heading2"/>
      </w:pPr>
      <w:r>
        <w:t>21.6 PropTech Development</w:t>
      </w:r>
    </w:p>
    <w:p>
      <w:pPr>
        <w:spacing w:after="120"/>
      </w:pPr>
      <w:r>
        <w:t>Hillway develops proprietary PropTech products (Steer AI, ServCharge, Finlo). All code, algorithms, data models, and related intellectual property developed during employment belong to the company (see Section 17 of your employment contract). When using AI tools for PropTech development, be aware of the terms of service regarding IP ownership of AI-generated code, and ensure compliance with open source licence terms.</w:t>
      </w:r>
    </w:p>
    <w:p>
      <w:pPr>
        <w:pStyle w:val="Heading2"/>
      </w:pPr>
      <w:r>
        <w:t>21.7 Training</w:t>
      </w:r>
    </w:p>
    <w:p>
      <w:pPr>
        <w:spacing w:after="120"/>
      </w:pPr>
      <w:r>
        <w:t>Hillway will provide training on the effective and responsible use of AI tools. All employees are expected to develop competence in using approved AI tools as part of their role. If you are unsure about whether a particular use of AI is appropriate, ask your line manager before proceeding.</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E40AF"/>
          </w:tcPr>
          <w:p>
            <w:pPr>
              <w:jc w:val="left"/>
            </w:pPr>
            <w:r>
              <w:rPr>
                <w:rFonts w:ascii="Calibri" w:hAnsi="Calibri"/>
                <w:b/>
                <w:color w:val="FFFFFF"/>
                <w:sz w:val="20"/>
              </w:rPr>
              <w:t>Version</w:t>
            </w:r>
          </w:p>
        </w:tc>
        <w:tc>
          <w:tcPr>
            <w:tcW w:type="dxa" w:w="1701"/>
            <w:shd w:fill="1E40AF"/>
          </w:tcPr>
          <w:p>
            <w:pPr>
              <w:jc w:val="left"/>
            </w:pPr>
            <w:r>
              <w:rPr>
                <w:rFonts w:ascii="Calibri" w:hAnsi="Calibri"/>
                <w:b/>
                <w:color w:val="FFFFFF"/>
                <w:sz w:val="20"/>
              </w:rPr>
              <w:t>Date</w:t>
            </w:r>
          </w:p>
        </w:tc>
        <w:tc>
          <w:tcPr>
            <w:tcW w:type="dxa" w:w="2835"/>
            <w:shd w:fill="1E40AF"/>
          </w:tcPr>
          <w:p>
            <w:pPr>
              <w:jc w:val="left"/>
            </w:pPr>
            <w:r>
              <w:rPr>
                <w:rFonts w:ascii="Calibri" w:hAnsi="Calibri"/>
                <w:b/>
                <w:color w:val="FFFFFF"/>
                <w:sz w:val="20"/>
              </w:rPr>
              <w:t>Author</w:t>
            </w:r>
          </w:p>
        </w:tc>
        <w:tc>
          <w:tcPr>
            <w:tcW w:type="dxa" w:w="3402"/>
            <w:shd w:fill="1E40AF"/>
          </w:tcPr>
          <w:p>
            <w:pPr>
              <w:jc w:val="left"/>
            </w:pPr>
            <w:r>
              <w:rPr>
                <w:rFonts w:ascii="Calibri" w:hAnsi="Calibri"/>
                <w:b/>
                <w:color w:val="FFFFFF"/>
                <w:sz w:val="20"/>
              </w:rPr>
              <w:t>Changes</w:t>
            </w:r>
          </w:p>
        </w:tc>
      </w:tr>
      <w:tr>
        <w:tc>
          <w:tcPr>
            <w:tcW w:type="dxa" w:w="1134"/>
          </w:tcPr>
          <w:p>
            <w:r>
              <w:rPr>
                <w:rFonts w:ascii="Calibri" w:hAnsi="Calibri"/>
                <w:color w:val="333333"/>
                <w:sz w:val="20"/>
              </w:rPr>
              <w:t>1.0</w:t>
            </w:r>
          </w:p>
        </w:tc>
        <w:tc>
          <w:tcPr>
            <w:tcW w:type="dxa" w:w="1701"/>
          </w:tcPr>
          <w:p>
            <w:r>
              <w:rPr>
                <w:rFonts w:ascii="Calibri" w:hAnsi="Calibri"/>
                <w:color w:val="333333"/>
                <w:sz w:val="20"/>
              </w:rPr>
              <w:t>February 2026</w:t>
            </w:r>
          </w:p>
        </w:tc>
        <w:tc>
          <w:tcPr>
            <w:tcW w:type="dxa" w:w="2835"/>
          </w:tcPr>
          <w:p>
            <w:r>
              <w:rPr>
                <w:rFonts w:ascii="Calibri" w:hAnsi="Calibri"/>
                <w:color w:val="333333"/>
                <w:sz w:val="20"/>
              </w:rPr>
              <w:t>Matt Fitzgerald MRICS</w:t>
            </w:r>
          </w:p>
        </w:tc>
        <w:tc>
          <w:tcPr>
            <w:tcW w:type="dxa" w:w="3402"/>
          </w:tcPr>
          <w:p>
            <w:r>
              <w:rPr>
                <w:rFonts w:ascii="Calibri" w:hAnsi="Calibri"/>
                <w:color w:val="333333"/>
                <w:sz w:val="20"/>
              </w:rPr>
              <w:t>Initial version</w:t>
            </w:r>
          </w:p>
        </w:tc>
      </w:tr>
    </w:tbl>
    <w:p/>
    <w:p>
      <w:pPr>
        <w:spacing w:after="120"/>
      </w:pPr>
      <w:r>
        <w:t>This handbook was last reviewed on 17 February 2026. It will be reviewed at least annually or following any significant change in legislation, business operations, or regulatory requirements.</w:t>
      </w:r>
    </w:p>
    <w:p>
      <w:pPr>
        <w:spacing w:after="120"/>
      </w:pPr>
      <w:r>
        <w:t>Approved by:</w:t>
      </w:r>
    </w:p>
    <w:p>
      <w:pPr>
        <w:spacing w:after="120"/>
      </w:pPr>
      <w:r>
        <w:rPr>
          <w:rFonts w:ascii="Calibri" w:hAnsi="Calibri"/>
          <w:b/>
        </w:rPr>
        <w:t>Matt Fitzgerald MRICS</w:t>
      </w:r>
      <w:r>
        <w:rPr>
          <w:rFonts w:ascii="Calibri" w:hAnsi="Calibri"/>
        </w:rPr>
        <w:br/>
        <w:t>Managing Director</w:t>
        <w:br/>
        <w:t>Hillway</w:t>
      </w:r>
    </w:p>
    <w:p>
      <w:pPr>
        <w:spacing w:after="120"/>
      </w:pPr>
      <w:r>
        <w:rPr>
          <w:rFonts w:ascii="Calibri" w:hAnsi="Calibri"/>
          <w:b/>
        </w:rPr>
        <w:t>Jamie Smyth MRICS</w:t>
      </w:r>
      <w:r>
        <w:rPr>
          <w:rFonts w:ascii="Calibri" w:hAnsi="Calibri"/>
        </w:rPr>
        <w:br/>
        <w:t>Director</w:t>
        <w:br/>
        <w:t>Hillway</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4"/>
      </w:rPr>
      <w:t>Hillway Holdings Ltd  |  Cubo, 38 Carver Street, Sheffield S1 4FS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605790"/>
          <wp:docPr id="1" name="Picture 1"/>
          <wp:cNvGraphicFramePr>
            <a:graphicFrameLocks noChangeAspect="1"/>
          </wp:cNvGraphicFramePr>
          <a:graphic>
            <a:graphicData uri="http://schemas.openxmlformats.org/drawingml/2006/picture">
              <pic:pic>
                <pic:nvPicPr>
                  <pic:cNvPr id="0" name="hillway-logo.png"/>
                  <pic:cNvPicPr/>
                </pic:nvPicPr>
                <pic:blipFill>
                  <a:blip r:embed="rId1"/>
                  <a:stretch>
                    <a:fillRect/>
                  </a:stretch>
                </pic:blipFill>
                <pic:spPr>
                  <a:xfrm>
                    <a:off x="0" y="0"/>
                    <a:ext cx="914400" cy="6057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A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