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0"/>
        <w:rPr>
          <w:b w:val="1"/>
          <w:bCs w:val="1"/>
          <w:sz w:val="32"/>
          <w:szCs w:val="32"/>
        </w:rPr>
      </w:pPr>
      <w:bookmarkStart w:colFirst="0" w:colLast="0" w:name="_gndjzpii56k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0" w:firstLine="0"/>
        <w:rPr>
          <w:b w:val="1"/>
          <w:bCs w:val="1"/>
          <w:sz w:val="32"/>
          <w:szCs w:val="32"/>
        </w:rPr>
      </w:pPr>
      <w:bookmarkStart w:colFirst="0" w:colLast="0" w:name="_tcwdbmb4ee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0" w:firstLine="0"/>
        <w:rPr/>
      </w:pPr>
      <w:bookmarkStart w:colFirst="0" w:colLast="0" w:name="_lq1mb2o8bqcu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REQUISITI NON FUNZIONALI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vfq86yq3g5gh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​1. Efficienza delle Prestazioni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​L'obiettivo è garantire tempi di risposta rapidi per l'utente finale anche sotto carico.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Operazioni di lettura &lt; 2 sec con dataset N=10000.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Latenza:</w:t>
      </w:r>
      <w:r w:rsidDel="00000000" w:rsidR="00000000" w:rsidRPr="00000000">
        <w:rPr>
          <w:rtl w:val="0"/>
        </w:rPr>
        <w:t xml:space="preserve"> Le operazioni di lettura critiche (es. visualizzazione classifica, calendario) devono mantenere un tempo di risposta inferiore a </w:t>
      </w:r>
      <w:r w:rsidDel="00000000" w:rsidR="00000000" w:rsidRPr="00000000">
        <w:rPr>
          <w:b w:val="1"/>
          <w:bCs w:val="1"/>
          <w:rtl w:val="0"/>
        </w:rPr>
        <w:t xml:space="preserve">2 secondi</w:t>
      </w:r>
      <w:r w:rsidDel="00000000" w:rsidR="00000000" w:rsidRPr="00000000">
        <w:rPr>
          <w:rtl w:val="0"/>
        </w:rPr>
        <w:t xml:space="preserve"> per il 95° percentile delle richieste (p95).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Carico Dati:</w:t>
      </w:r>
      <w:r w:rsidDel="00000000" w:rsidR="00000000" w:rsidRPr="00000000">
        <w:rPr>
          <w:rtl w:val="0"/>
        </w:rPr>
        <w:t xml:space="preserve"> Il sistema deve garantire queste prestazioni con un volume dati iniziale fino a </w:t>
      </w:r>
      <w:r w:rsidDel="00000000" w:rsidR="00000000" w:rsidRPr="00000000">
        <w:rPr>
          <w:b w:val="1"/>
          <w:bCs w:val="1"/>
          <w:rtl w:val="0"/>
        </w:rPr>
        <w:t xml:space="preserve">10.000 record</w:t>
      </w:r>
      <w:r w:rsidDel="00000000" w:rsidR="00000000" w:rsidRPr="00000000">
        <w:rPr>
          <w:rtl w:val="0"/>
        </w:rPr>
        <w:t xml:space="preserve">, con degrado lineare controllato oltre tale soglia.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Concorrenza:</w:t>
      </w:r>
      <w:r w:rsidDel="00000000" w:rsidR="00000000" w:rsidRPr="00000000">
        <w:rPr>
          <w:rtl w:val="0"/>
        </w:rPr>
        <w:t xml:space="preserve"> Il sistema deve supportare fino a [Inserire numero, es. 500] utenti concorrenti senza degrado delle prestazioni superiore al 20%.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​2. Scalabilità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​Capacità del sistema di gestire carichi di lavoro crescenti.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Crescita numero stagioni/dati; separazione livelli UI/Business/Persistenza.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Architettura:</w:t>
      </w:r>
      <w:r w:rsidDel="00000000" w:rsidR="00000000" w:rsidRPr="00000000">
        <w:rPr>
          <w:rtl w:val="0"/>
        </w:rPr>
        <w:t xml:space="preserve"> Adozione rigorosa di un'architettura a tre livelli (Three-Tier Architecture) per disaccoppiare Frontend, Logica di Business e Accesso ai Dati, facilitando la scalabilità orizzontale dei singoli nodi.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Il database deve supportare l'indicizzazione efficiente per gestire la crescita storica dei dati (stagioni passate) senza rallentare le query attive.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omyg9vx8vku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us6vdrd62py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q0uj4tc0vuf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adukogt9iqu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56ijq4k7lzh8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dak6rzwqnxsa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​3. Disponibilità (Availability)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​Garanzia di accesso al servizio.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Disponibile al 100% per visualizzazione.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1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SLA (Service Level Agreement):</w:t>
      </w:r>
      <w:r w:rsidDel="00000000" w:rsidR="00000000" w:rsidRPr="00000000">
        <w:rPr>
          <w:rtl w:val="0"/>
        </w:rPr>
        <w:t xml:space="preserve"> L'obiettivo per le funzionalità di sola lettura è un uptime del </w:t>
      </w:r>
      <w:r w:rsidDel="00000000" w:rsidR="00000000" w:rsidRPr="00000000">
        <w:rPr>
          <w:b w:val="1"/>
          <w:bCs w:val="1"/>
          <w:rtl w:val="0"/>
        </w:rPr>
        <w:t xml:space="preserve">99.9%</w:t>
      </w:r>
      <w:r w:rsidDel="00000000" w:rsidR="00000000" w:rsidRPr="00000000">
        <w:rPr>
          <w:rtl w:val="0"/>
        </w:rPr>
        <w:t xml:space="preserve"> (il 100% è teorico, si consiglia di prevedere finestre di manutenzione).</w:t>
      </w:r>
    </w:p>
    <w:p w:rsidR="00000000" w:rsidDel="00000000" w:rsidP="00000000" w:rsidRDefault="00000000" w:rsidRPr="00000000" w14:paraId="0000001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Failover:</w:t>
      </w:r>
      <w:r w:rsidDel="00000000" w:rsidR="00000000" w:rsidRPr="00000000">
        <w:rPr>
          <w:rtl w:val="0"/>
        </w:rPr>
        <w:t xml:space="preserve"> In caso di guasto del database principale, il sistema deve poter passare in modalità "Sola Lettura" utilizzando una replica o una cache per garantire la visualizzazione.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n4qlmnqp564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omtcs06ifmje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xtz5b25fv1bs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​4. Sicurezza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​Protezione dei dati e degli accessi.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Password memorizzate; autenticazione admin.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Gestione Credenziali:</w:t>
      </w:r>
      <w:r w:rsidDel="00000000" w:rsidR="00000000" w:rsidRPr="00000000">
        <w:rPr>
          <w:rtl w:val="0"/>
        </w:rPr>
        <w:t xml:space="preserve"> Le password non devono mai essere salvate in chiaro. Utilizzo obbligatorio di algoritmi di hashing robusti (es. BCrypt o Argon2) con </w:t>
      </w:r>
      <w:r w:rsidDel="00000000" w:rsidR="00000000" w:rsidRPr="00000000">
        <w:rPr>
          <w:i w:val="1"/>
          <w:i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 univoco per utente.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Autenticazione:</w:t>
      </w:r>
      <w:r w:rsidDel="00000000" w:rsidR="00000000" w:rsidRPr="00000000">
        <w:rPr>
          <w:rtl w:val="0"/>
        </w:rPr>
        <w:t xml:space="preserve"> Implementazione di un sistema di autenticazione sicuro (es. OAuth2 o JWT) per le funzioni amministrative.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Trasmissione Dati:</w:t>
      </w:r>
      <w:r w:rsidDel="00000000" w:rsidR="00000000" w:rsidRPr="00000000">
        <w:rPr>
          <w:rtl w:val="0"/>
        </w:rPr>
        <w:t xml:space="preserve"> Tutto il traffico deve avvenire su protocollo crittografato (HTTPS/TLS 1.2+).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bjh6c3htllb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aa82wulgjax2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h0rkozdh9fg9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​5. Manutenibilità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​Facilità di modifica e aggiornamento del software.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Codice modulare, documentazione API, pattern DAO/Service/Controller.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Design Pattern:</w:t>
      </w:r>
      <w:r w:rsidDel="00000000" w:rsidR="00000000" w:rsidRPr="00000000">
        <w:rPr>
          <w:rtl w:val="0"/>
        </w:rPr>
        <w:t xml:space="preserve"> Adozione rigorosa dei pattern </w:t>
      </w:r>
      <w:r w:rsidDel="00000000" w:rsidR="00000000" w:rsidRPr="00000000">
        <w:rPr>
          <w:b w:val="1"/>
          <w:bCs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(Model-View-Controller) e </w:t>
      </w:r>
      <w:r w:rsidDel="00000000" w:rsidR="00000000" w:rsidRPr="00000000">
        <w:rPr>
          <w:b w:val="1"/>
          <w:bCs w:val="1"/>
          <w:rtl w:val="0"/>
        </w:rPr>
        <w:t xml:space="preserve">Dependency Injection</w:t>
      </w:r>
      <w:r w:rsidDel="00000000" w:rsidR="00000000" w:rsidRPr="00000000">
        <w:rPr>
          <w:rtl w:val="0"/>
        </w:rPr>
        <w:t xml:space="preserve">. Separazione netta tramite DAO (Data Access Object) e Service Layer.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Qualità del Codice:</w:t>
      </w:r>
      <w:r w:rsidDel="00000000" w:rsidR="00000000" w:rsidRPr="00000000">
        <w:rPr>
          <w:rtl w:val="0"/>
        </w:rPr>
        <w:t xml:space="preserve"> Adozione di standard di coding (es. Java Code Conventions) verificati tramite strumenti di analisi statica (es. SonarQube).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Documentazione:</w:t>
      </w:r>
      <w:r w:rsidDel="00000000" w:rsidR="00000000" w:rsidRPr="00000000">
        <w:rPr>
          <w:rtl w:val="0"/>
        </w:rPr>
        <w:t xml:space="preserve"> Le API REST devono essere documentate tramite standard OpenAPI (Swagger).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q74ede3rzwht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3orh5ur3nh0m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dcwuceh1qsa8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Integrità dei Dati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​Coerenza e affidabilità delle informazioni.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Transazioni atomiche per inserimento/aggiornamento.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3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Transazionalità (ACID):</w:t>
      </w:r>
      <w:r w:rsidDel="00000000" w:rsidR="00000000" w:rsidRPr="00000000">
        <w:rPr>
          <w:rtl w:val="0"/>
        </w:rPr>
        <w:t xml:space="preserve"> Le operazioni critiche che coinvolgono più tabelle (es. inserimento risultato partita + ricalcolo classifica) devono essere avvolte in una singola transazione atomica. In caso di errore in uno step, l'intera operazione deve effettuare il </w:t>
      </w:r>
      <w:r w:rsidDel="00000000" w:rsidR="00000000" w:rsidRPr="00000000">
        <w:rPr>
          <w:i w:val="1"/>
          <w:i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Vincoli:</w:t>
      </w:r>
      <w:r w:rsidDel="00000000" w:rsidR="00000000" w:rsidRPr="00000000">
        <w:rPr>
          <w:rtl w:val="0"/>
        </w:rPr>
        <w:t xml:space="preserve"> Utilizzo di vincoli di integrità referenziale (Foreign Keys) a livello di database per prevenire orfani.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ldfm141uyn2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g6yszrj87af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487taqem3j22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​7. Testabilità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​Capacità di verificare il corretto funzionamento del software.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Unit/integration tests, copertura 60-80%, CI pipeline.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4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Copertura:</w:t>
      </w:r>
      <w:r w:rsidDel="00000000" w:rsidR="00000000" w:rsidRPr="00000000">
        <w:rPr>
          <w:rtl w:val="0"/>
        </w:rPr>
        <w:t xml:space="preserve"> Target di </w:t>
      </w:r>
      <w:r w:rsidDel="00000000" w:rsidR="00000000" w:rsidRPr="00000000">
        <w:rPr>
          <w:i w:val="1"/>
          <w:iCs w:val="1"/>
          <w:rtl w:val="0"/>
        </w:rPr>
        <w:t xml:space="preserve">Code Coverage</w:t>
      </w:r>
      <w:r w:rsidDel="00000000" w:rsidR="00000000" w:rsidRPr="00000000">
        <w:rPr>
          <w:rtl w:val="0"/>
        </w:rPr>
        <w:t xml:space="preserve"> minimo del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(ottimale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) per la business logic (Core).</w:t>
      </w:r>
    </w:p>
    <w:p w:rsidR="00000000" w:rsidDel="00000000" w:rsidP="00000000" w:rsidRDefault="00000000" w:rsidRPr="00000000" w14:paraId="0000004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Strategia di Test:</w:t>
      </w:r>
      <w:r w:rsidDel="00000000" w:rsidR="00000000" w:rsidRPr="00000000">
        <w:rPr>
          <w:rtl w:val="0"/>
        </w:rPr>
        <w:t xml:space="preserve"> Implementazione della piramide dei test:</w:t>
      </w:r>
    </w:p>
    <w:p w:rsidR="00000000" w:rsidDel="00000000" w:rsidP="00000000" w:rsidRDefault="00000000" w:rsidRPr="00000000" w14:paraId="00000046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Unit Test:</w:t>
      </w:r>
      <w:r w:rsidDel="00000000" w:rsidR="00000000" w:rsidRPr="00000000">
        <w:rPr>
          <w:rtl w:val="0"/>
        </w:rPr>
        <w:t xml:space="preserve"> Isolati (uso di Mockito/Junit).</w:t>
      </w:r>
    </w:p>
    <w:p w:rsidR="00000000" w:rsidDel="00000000" w:rsidP="00000000" w:rsidRDefault="00000000" w:rsidRPr="00000000" w14:paraId="00000047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Integration Test:</w:t>
      </w:r>
      <w:r w:rsidDel="00000000" w:rsidR="00000000" w:rsidRPr="00000000">
        <w:rPr>
          <w:rtl w:val="0"/>
        </w:rPr>
        <w:t xml:space="preserve"> Verifica interazione Database/API.</w:t>
      </w:r>
    </w:p>
    <w:p w:rsidR="00000000" w:rsidDel="00000000" w:rsidP="00000000" w:rsidRDefault="00000000" w:rsidRPr="00000000" w14:paraId="00000048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E2E Test:</w:t>
      </w:r>
      <w:r w:rsidDel="00000000" w:rsidR="00000000" w:rsidRPr="00000000">
        <w:rPr>
          <w:rtl w:val="0"/>
        </w:rPr>
        <w:t xml:space="preserve"> Flussi critici utente.</w:t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La pipeline di Continuous Integration deve bloccare il merge se i test falliscono o se la copertura scende sotto la soglia minima.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64uz1iql4py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h65hanysg20t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da0hzfsq3pqv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​8. Usabilità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​Facilità d'uso per l'utente finale.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Interfaccia intuitiva, pochi click, accessibilità base.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Efficienza d'uso:</w:t>
      </w:r>
      <w:r w:rsidDel="00000000" w:rsidR="00000000" w:rsidRPr="00000000">
        <w:rPr>
          <w:rtl w:val="0"/>
        </w:rPr>
        <w:t xml:space="preserve"> Le operazioni frequenti (es. inserimento risultato) devono essere completabili in massimo </w:t>
      </w:r>
      <w:r w:rsidDel="00000000" w:rsidR="00000000" w:rsidRPr="00000000">
        <w:rPr>
          <w:b w:val="1"/>
          <w:bCs w:val="1"/>
          <w:rtl w:val="0"/>
        </w:rPr>
        <w:t xml:space="preserve">3 click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Accessibilità:</w:t>
      </w:r>
      <w:r w:rsidDel="00000000" w:rsidR="00000000" w:rsidRPr="00000000">
        <w:rPr>
          <w:rtl w:val="0"/>
        </w:rPr>
        <w:t xml:space="preserve"> Conformità agli standard </w:t>
      </w:r>
      <w:r w:rsidDel="00000000" w:rsidR="00000000" w:rsidRPr="00000000">
        <w:rPr>
          <w:b w:val="1"/>
          <w:bCs w:val="1"/>
          <w:rtl w:val="0"/>
        </w:rPr>
        <w:t xml:space="preserve">WCAG 2.1 livello AA</w:t>
      </w:r>
      <w:r w:rsidDel="00000000" w:rsidR="00000000" w:rsidRPr="00000000">
        <w:rPr>
          <w:rtl w:val="0"/>
        </w:rPr>
        <w:t xml:space="preserve"> (contrasto colori sufficiente, etichette per screen reader, navigabilità da tastiera).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Responsività:</w:t>
      </w:r>
      <w:r w:rsidDel="00000000" w:rsidR="00000000" w:rsidRPr="00000000">
        <w:rPr>
          <w:rtl w:val="0"/>
        </w:rPr>
        <w:t xml:space="preserve"> L'interfaccia deve adattarsi fluidamente a dispositivi desktop, tablet e mobile.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ezl73fn0clw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db6pbllxraqd" w:id="26"/>
      <w:bookmarkEnd w:id="2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prd1745xfonm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​9. Localizzazione e Internazionalizzazione (i18n)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​Adattabilità a lingue e formati regionali.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Default lingua IT.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Resource Bundles:</w:t>
      </w:r>
      <w:r w:rsidDel="00000000" w:rsidR="00000000" w:rsidRPr="00000000">
        <w:rPr>
          <w:rtl w:val="0"/>
        </w:rPr>
        <w:t xml:space="preserve"> Nessuna stringa di testo deve essere </w:t>
      </w:r>
      <w:r w:rsidDel="00000000" w:rsidR="00000000" w:rsidRPr="00000000">
        <w:rPr>
          <w:i w:val="1"/>
          <w:iCs w:val="1"/>
          <w:rtl w:val="0"/>
        </w:rPr>
        <w:t xml:space="preserve">hardcoded</w:t>
      </w:r>
      <w:r w:rsidDel="00000000" w:rsidR="00000000" w:rsidRPr="00000000">
        <w:rPr>
          <w:rtl w:val="0"/>
        </w:rPr>
        <w:t xml:space="preserve"> nel codice sorgente. Tutti i testi devono risiedere in file di proprietà esterni per facilitare future traduzioni.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Formati:</w:t>
      </w:r>
      <w:r w:rsidDel="00000000" w:rsidR="00000000" w:rsidRPr="00000000">
        <w:rPr>
          <w:rtl w:val="0"/>
        </w:rPr>
        <w:t xml:space="preserve"> Gestione corretta di date, valute e numeri secondo il </w:t>
      </w:r>
      <w:r w:rsidDel="00000000" w:rsidR="00000000" w:rsidRPr="00000000">
        <w:rPr>
          <w:i w:val="1"/>
          <w:iCs w:val="1"/>
          <w:rtl w:val="0"/>
        </w:rPr>
        <w:t xml:space="preserve">locale</w:t>
      </w:r>
      <w:r w:rsidDel="00000000" w:rsidR="00000000" w:rsidRPr="00000000">
        <w:rPr>
          <w:rtl w:val="0"/>
        </w:rPr>
        <w:t xml:space="preserve"> italiano (it-IT) di default.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Bassa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g2y1kt5u6w5w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9da6b7d6lbu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415keks9dlma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f5tblupp3os1" w:id="31"/>
      <w:bookmarkEnd w:id="3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qfb3mwi7ks4n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Logging e Monitoraggio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​Osservabilità del sistema.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Log centralizzati (INFO/WARN/ERROR), metriche base.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Livelli di Log:</w:t>
      </w:r>
      <w:r w:rsidDel="00000000" w:rsidR="00000000" w:rsidRPr="00000000">
        <w:rPr>
          <w:rtl w:val="0"/>
        </w:rPr>
        <w:t xml:space="preserve"> Utilizzo standardizzato dei livelli: ERROR (richiede intervento immediato), WARN (potenziale problema), INFO (audit trail).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I log non devono mai contenere dati sensibili (PII) o password in chiaro.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I log devono essere conservati per almeno [es. 30 giorni] per scopi di debug e audit.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npnem3tjazt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wa63jekce2w" w:id="34"/>
      <w:bookmarkEnd w:id="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b1ux1w492t4l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​11. Backup e Disaster Recovery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​Sicurezza contro la perdita di dati.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Backup periodico e ripristino documentato.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RPO (Recovery Point Objective):</w:t>
      </w:r>
      <w:r w:rsidDel="00000000" w:rsidR="00000000" w:rsidRPr="00000000">
        <w:rPr>
          <w:rtl w:val="0"/>
        </w:rPr>
        <w:t xml:space="preserve"> Perdita massima di dati accettabile fissata a </w:t>
      </w:r>
      <w:r w:rsidDel="00000000" w:rsidR="00000000" w:rsidRPr="00000000">
        <w:rPr>
          <w:b w:val="1"/>
          <w:bCs w:val="1"/>
          <w:rtl w:val="0"/>
        </w:rPr>
        <w:t xml:space="preserve">24 ore</w:t>
      </w:r>
      <w:r w:rsidDel="00000000" w:rsidR="00000000" w:rsidRPr="00000000">
        <w:rPr>
          <w:rtl w:val="0"/>
        </w:rPr>
        <w:t xml:space="preserve"> (backup giornaliero notturno).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RTO (Recovery Time Objective):</w:t>
      </w:r>
      <w:r w:rsidDel="00000000" w:rsidR="00000000" w:rsidRPr="00000000">
        <w:rPr>
          <w:rtl w:val="0"/>
        </w:rPr>
        <w:t xml:space="preserve"> Tempo massimo per il ripristino del servizio fissato a </w:t>
      </w:r>
      <w:r w:rsidDel="00000000" w:rsidR="00000000" w:rsidRPr="00000000">
        <w:rPr>
          <w:b w:val="1"/>
          <w:bCs w:val="1"/>
          <w:rtl w:val="0"/>
        </w:rPr>
        <w:t xml:space="preserve">4 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Verifica:</w:t>
      </w:r>
      <w:r w:rsidDel="00000000" w:rsidR="00000000" w:rsidRPr="00000000">
        <w:rPr>
          <w:rtl w:val="0"/>
        </w:rPr>
        <w:t xml:space="preserve"> Procedura di test del ripristino (restore) da effettuare semestralmente.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s7vclo4kc8sx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lign6flzxdbb" w:id="37"/>
      <w:bookmarkEnd w:id="3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q9dljsl10ztz" w:id="38"/>
      <w:bookmarkEnd w:id="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​12. Conformità Legale e Privacy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​Rispetto delle normative vigenti.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GDPR, consensi, cancellazione.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Diritto all'Oblio:</w:t>
      </w:r>
      <w:r w:rsidDel="00000000" w:rsidR="00000000" w:rsidRPr="00000000">
        <w:rPr>
          <w:rtl w:val="0"/>
        </w:rPr>
        <w:t xml:space="preserve"> Implementazione di una funzione tecnica che permetta l'anonimizzazione o la cancellazione irreversibile dei dati utente su richiesta (Art. 17 GDPR).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Minimizzazione:</w:t>
      </w:r>
      <w:r w:rsidDel="00000000" w:rsidR="00000000" w:rsidRPr="00000000">
        <w:rPr>
          <w:rtl w:val="0"/>
        </w:rPr>
        <w:t xml:space="preserve"> Raccolta limitata ai soli dati strettamente necessari per il servizio.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Cookie Policy:</w:t>
      </w:r>
      <w:r w:rsidDel="00000000" w:rsidR="00000000" w:rsidRPr="00000000">
        <w:rPr>
          <w:rtl w:val="0"/>
        </w:rPr>
        <w:t xml:space="preserve"> Banner per la gestione granulare dei consensi ai cookie.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uo684hwdb4hv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70sc2p26jjbw" w:id="40"/>
      <w:bookmarkEnd w:id="4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u30al1bby3di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​13. Portabilità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​Capacità di eseguire il software in ambienti diversi.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Requisito Originale:</w:t>
      </w:r>
      <w:r w:rsidDel="00000000" w:rsidR="00000000" w:rsidRPr="00000000">
        <w:rPr>
          <w:rtl w:val="0"/>
        </w:rPr>
        <w:t xml:space="preserve"> JVM standard (OpenJDK 11+).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Espansione Tecnica: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Ambiente di Runtime:</w:t>
      </w:r>
      <w:r w:rsidDel="00000000" w:rsidR="00000000" w:rsidRPr="00000000">
        <w:rPr>
          <w:rtl w:val="0"/>
        </w:rPr>
        <w:t xml:space="preserve"> Piena compatibilità con </w:t>
      </w:r>
      <w:r w:rsidDel="00000000" w:rsidR="00000000" w:rsidRPr="00000000">
        <w:rPr>
          <w:b w:val="1"/>
          <w:bCs w:val="1"/>
          <w:rtl w:val="0"/>
        </w:rPr>
        <w:t xml:space="preserve">OpenJDK 11 LTS</w:t>
      </w:r>
      <w:r w:rsidDel="00000000" w:rsidR="00000000" w:rsidRPr="00000000">
        <w:rPr>
          <w:rtl w:val="0"/>
        </w:rPr>
        <w:t xml:space="preserve"> o versioni superiori.</w:t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Containerizzazione (Opzionale ma consigliato):</w:t>
      </w:r>
      <w:r w:rsidDel="00000000" w:rsidR="00000000" w:rsidRPr="00000000">
        <w:rPr>
          <w:rtl w:val="0"/>
        </w:rPr>
        <w:t xml:space="preserve"> Predisposizione dell'applicazione per essere pacchettizzata in container Docker, garantendo l'indipendenza dal sistema operativo sottostante (Linux/Windows).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