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rial" w:hAnsi="Arial"/>
          <w:b/>
          <w:color w:val="2D7206"/>
          <w:sz w:val="44"/>
        </w:rPr>
        <w:t>TEA Ambiente e Ecologia</w:t>
      </w:r>
    </w:p>
    <w:p>
      <w:pPr>
        <w:jc w:val="center"/>
      </w:pPr>
      <w:r>
        <w:rPr>
          <w:rFonts w:ascii="Arial" w:hAnsi="Arial"/>
          <w:color w:val="595959"/>
          <w:sz w:val="32"/>
        </w:rPr>
        <w:t>CRM – Gestione Offerte e Contratti Rifiuti</w:t>
      </w:r>
    </w:p>
    <w:p/>
    <w:p>
      <w:pPr>
        <w:jc w:val="center"/>
      </w:pPr>
      <w:r>
        <w:rPr>
          <w:rFonts w:ascii="Arial" w:hAnsi="Arial"/>
          <w:b/>
          <w:color w:val="3B9408"/>
          <w:sz w:val="40"/>
        </w:rPr>
        <w:t>ANALISI FUNZIONALE</w:t>
      </w:r>
    </w:p>
    <w:p/>
    <w:p/>
    <w:tbl>
      <w:tblPr>
        <w:tblW w:type="auto" w:w="0"/>
        <w:tblLook w:firstColumn="1" w:firstRow="1" w:lastColumn="0" w:lastRow="0" w:noHBand="0" w:noVBand="1" w:val="04A0"/>
      </w:tblPr>
      <w:tblGrid>
        <w:gridCol w:w="4513"/>
        <w:gridCol w:w="4513"/>
      </w:tblGrid>
      <w:tr>
        <w:tc>
          <w:tcPr>
            <w:tcW w:type="dxa" w:w="4513"/>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000000"/>
                <w:sz w:val="20"/>
              </w:rPr>
              <w:t>Versione</w:t>
            </w:r>
          </w:p>
        </w:tc>
        <w:tc>
          <w:tcPr>
            <w:tcW w:type="dxa" w:w="4513"/>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00.1 – Prima bozza da workshop</w:t>
            </w:r>
          </w:p>
        </w:tc>
      </w:tr>
      <w:tr>
        <w:tc>
          <w:tcPr>
            <w:tcW w:type="dxa" w:w="4513"/>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000000"/>
                <w:sz w:val="20"/>
              </w:rPr>
              <w:t>Data</w:t>
            </w:r>
          </w:p>
        </w:tc>
        <w:tc>
          <w:tcPr>
            <w:tcW w:type="dxa" w:w="4513"/>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04/06/2026</w:t>
            </w:r>
          </w:p>
        </w:tc>
      </w:tr>
      <w:tr>
        <w:tc>
          <w:tcPr>
            <w:tcW w:type="dxa" w:w="4513"/>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000000"/>
                <w:sz w:val="20"/>
              </w:rPr>
              <w:t>Odoo</w:t>
            </w:r>
          </w:p>
        </w:tc>
        <w:tc>
          <w:tcPr>
            <w:tcW w:type="dxa" w:w="4513"/>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Enterprise 19.0</w:t>
            </w:r>
          </w:p>
        </w:tc>
      </w:tr>
      <w:tr>
        <w:tc>
          <w:tcPr>
            <w:tcW w:type="dxa" w:w="4513"/>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000000"/>
                <w:sz w:val="20"/>
              </w:rPr>
              <w:t>Classificazione</w:t>
            </w:r>
          </w:p>
        </w:tc>
        <w:tc>
          <w:tcPr>
            <w:tcW w:type="dxa" w:w="4513"/>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Confidential</w:t>
            </w:r>
          </w:p>
        </w:tc>
      </w:tr>
      <w:tr>
        <w:tc>
          <w:tcPr>
            <w:tcW w:type="dxa" w:w="4513"/>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000000"/>
                <w:sz w:val="20"/>
              </w:rPr>
              <w:t>Stato</w:t>
            </w:r>
          </w:p>
        </w:tc>
        <w:tc>
          <w:tcPr>
            <w:tcW w:type="dxa" w:w="4513"/>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Bozza — da validare con il cliente</w:t>
            </w:r>
          </w:p>
        </w:tc>
      </w:tr>
    </w:tbl>
    <w:p>
      <w:r>
        <w:br w:type="page"/>
      </w:r>
    </w:p>
    <w:p>
      <w:pPr>
        <w:ind w:left="283"/>
      </w:pPr>
      <w:r>
        <w:rPr>
          <w:rFonts w:ascii="Arial" w:hAnsi="Arial"/>
          <w:i/>
          <w:color w:val="595959"/>
          <w:sz w:val="20"/>
        </w:rPr>
        <w:t>Nota metodologica: Il presente documento è redatto esclusivamente sulla base degli incontri di analisi AS-IS/TO-BE del 16, 19 e 23 marzo 2026. I contenuti rispecchiano quanto emerso e concordato in quei workshop. Assunzioni applicate in assenza di indicazioni esplicite: (1) Versione Odoo Enterprise 19.0; (2) Lingua sistema: Italiano; (3) URL ambienti da definire (OP-001); (4) Perimetro: CRM + modulo Gestione Offerte/Contratti; contabilità attiva, logistica e integrazione con VMS sono fuori scope in questa fase. Eventuali variazioni impatteranno scope e tempi.</w:t>
      </w:r>
    </w:p>
    <w:p/>
    <w:p>
      <w:pPr>
        <w:pStyle w:val="Heading1"/>
        <w:jc w:val="left"/>
      </w:pPr>
      <w:r>
        <w:rPr>
          <w:rFonts w:ascii="Arial" w:hAnsi="Arial"/>
          <w:color w:val="2D7206"/>
          <w:sz w:val="32"/>
        </w:rPr>
        <w:t>1. Registro Versioni del Documento</w:t>
      </w:r>
    </w:p>
    <w:tbl>
      <w:tblPr>
        <w:tblW w:type="auto" w:w="0"/>
        <w:tblLook w:firstColumn="1" w:firstRow="1" w:lastColumn="0" w:lastRow="0" w:noHBand="0" w:noVBand="1" w:val="04A0"/>
      </w:tblPr>
      <w:tblGrid>
        <w:gridCol w:w="3009"/>
        <w:gridCol w:w="3009"/>
        <w:gridCol w:w="3009"/>
      </w:tblGrid>
      <w:tr>
        <w:tc>
          <w:tcPr>
            <w:tcW w:type="dxa" w:w="1134"/>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Rev</w:t>
            </w:r>
          </w:p>
        </w:tc>
        <w:tc>
          <w:tcPr>
            <w:tcW w:type="dxa" w:w="6803"/>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Descrizione</w:t>
            </w:r>
          </w:p>
        </w:tc>
        <w:tc>
          <w:tcPr>
            <w:tcW w:type="dxa" w:w="1417"/>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Data</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00.1</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Prima bozza da workshop di analisi 16-19-23/03/2026</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04/06/2026</w:t>
            </w:r>
          </w:p>
        </w:tc>
      </w:tr>
    </w:tbl>
    <w:p>
      <w:r>
        <w:br w:type="page"/>
      </w:r>
    </w:p>
    <w:p>
      <w:pPr>
        <w:pStyle w:val="Heading1"/>
        <w:jc w:val="left"/>
      </w:pPr>
      <w:r>
        <w:rPr>
          <w:rFonts w:ascii="Arial" w:hAnsi="Arial"/>
          <w:color w:val="2D7206"/>
          <w:sz w:val="32"/>
        </w:rPr>
        <w:t>2. Indice</w:t>
      </w:r>
    </w:p>
    <w:p>
      <w:pPr>
        <w:spacing w:before="20" w:after="20"/>
      </w:pPr>
      <w:r>
        <w:rPr>
          <w:rFonts w:ascii="Arial" w:hAnsi="Arial"/>
          <w:sz w:val="22"/>
        </w:rPr>
        <w:t>1. Registro Versioni del Documento</w:t>
      </w:r>
    </w:p>
    <w:p>
      <w:pPr>
        <w:spacing w:before="20" w:after="20"/>
      </w:pPr>
      <w:r>
        <w:rPr>
          <w:rFonts w:ascii="Arial" w:hAnsi="Arial"/>
          <w:sz w:val="22"/>
        </w:rPr>
        <w:t>2. Indice</w:t>
      </w:r>
    </w:p>
    <w:p>
      <w:pPr>
        <w:spacing w:before="20" w:after="20"/>
      </w:pPr>
      <w:r>
        <w:rPr>
          <w:rFonts w:ascii="Arial" w:hAnsi="Arial"/>
          <w:sz w:val="22"/>
        </w:rPr>
        <w:t>3. Processo AS-IS</w:t>
      </w:r>
    </w:p>
    <w:p>
      <w:pPr>
        <w:spacing w:before="20" w:after="20"/>
      </w:pPr>
      <w:r>
        <w:rPr>
          <w:rFonts w:ascii="Arial" w:hAnsi="Arial"/>
          <w:sz w:val="22"/>
        </w:rPr>
        <w:t xml:space="preserve">    3.1  Contesto e volumi</w:t>
      </w:r>
    </w:p>
    <w:p>
      <w:pPr>
        <w:spacing w:before="20" w:after="20"/>
      </w:pPr>
      <w:r>
        <w:rPr>
          <w:rFonts w:ascii="Arial" w:hAnsi="Arial"/>
          <w:sz w:val="22"/>
        </w:rPr>
        <w:t xml:space="preserve">    3.2  Attori e ruoli</w:t>
      </w:r>
    </w:p>
    <w:p>
      <w:pPr>
        <w:spacing w:before="20" w:after="20"/>
      </w:pPr>
      <w:r>
        <w:rPr>
          <w:rFonts w:ascii="Arial" w:hAnsi="Arial"/>
          <w:sz w:val="22"/>
        </w:rPr>
        <w:t xml:space="preserve">    3.3  Flusso operativo attuale</w:t>
      </w:r>
    </w:p>
    <w:p>
      <w:pPr>
        <w:spacing w:before="20" w:after="20"/>
      </w:pPr>
      <w:r>
        <w:rPr>
          <w:rFonts w:ascii="Arial" w:hAnsi="Arial"/>
          <w:sz w:val="22"/>
        </w:rPr>
        <w:t xml:space="preserve">    3.4  Strumenti utilizzati</w:t>
      </w:r>
    </w:p>
    <w:p>
      <w:pPr>
        <w:spacing w:before="20" w:after="20"/>
      </w:pPr>
      <w:r>
        <w:rPr>
          <w:rFonts w:ascii="Arial" w:hAnsi="Arial"/>
          <w:sz w:val="22"/>
        </w:rPr>
        <w:t xml:space="preserve">    3.5  Pain point rilevati</w:t>
      </w:r>
    </w:p>
    <w:p>
      <w:pPr>
        <w:spacing w:before="20" w:after="20"/>
      </w:pPr>
      <w:r>
        <w:rPr>
          <w:rFonts w:ascii="Arial" w:hAnsi="Arial"/>
          <w:sz w:val="22"/>
        </w:rPr>
        <w:t>4. Sistema TO-BE</w:t>
      </w:r>
    </w:p>
    <w:p>
      <w:pPr>
        <w:spacing w:before="20" w:after="20"/>
      </w:pPr>
      <w:r>
        <w:rPr>
          <w:rFonts w:ascii="Arial" w:hAnsi="Arial"/>
          <w:sz w:val="22"/>
        </w:rPr>
        <w:t xml:space="preserve">    4.1  Utenti e ruoli</w:t>
      </w:r>
    </w:p>
    <w:p>
      <w:pPr>
        <w:spacing w:before="20" w:after="20"/>
      </w:pPr>
      <w:r>
        <w:rPr>
          <w:rFonts w:ascii="Arial" w:hAnsi="Arial"/>
          <w:sz w:val="22"/>
        </w:rPr>
        <w:t xml:space="preserve">    4.2  Anagrafica clienti</w:t>
      </w:r>
    </w:p>
    <w:p>
      <w:pPr>
        <w:spacing w:before="20" w:after="20"/>
      </w:pPr>
      <w:r>
        <w:rPr>
          <w:rFonts w:ascii="Arial" w:hAnsi="Arial"/>
          <w:sz w:val="22"/>
        </w:rPr>
        <w:t xml:space="preserve">    4.3  Anagrafica prodotti e listino prezzi</w:t>
      </w:r>
    </w:p>
    <w:p>
      <w:pPr>
        <w:spacing w:before="20" w:after="20"/>
      </w:pPr>
      <w:r>
        <w:rPr>
          <w:rFonts w:ascii="Arial" w:hAnsi="Arial"/>
          <w:sz w:val="22"/>
        </w:rPr>
        <w:t xml:space="preserve">    4.4  Pipeline commerciale (CRM)</w:t>
      </w:r>
    </w:p>
    <w:p>
      <w:pPr>
        <w:spacing w:before="20" w:after="20"/>
      </w:pPr>
      <w:r>
        <w:rPr>
          <w:rFonts w:ascii="Arial" w:hAnsi="Arial"/>
          <w:sz w:val="22"/>
        </w:rPr>
        <w:t xml:space="preserve">    4.5  Gestione offerta/contratto</w:t>
      </w:r>
    </w:p>
    <w:p>
      <w:pPr>
        <w:spacing w:before="20" w:after="20"/>
      </w:pPr>
      <w:r>
        <w:rPr>
          <w:rFonts w:ascii="Arial" w:hAnsi="Arial"/>
          <w:sz w:val="22"/>
        </w:rPr>
        <w:t xml:space="preserve">    4.6  Tipi di documento commerciale</w:t>
      </w:r>
    </w:p>
    <w:p>
      <w:pPr>
        <w:spacing w:before="20" w:after="20"/>
      </w:pPr>
      <w:r>
        <w:rPr>
          <w:rFonts w:ascii="Arial" w:hAnsi="Arial"/>
          <w:sz w:val="22"/>
        </w:rPr>
        <w:t xml:space="preserve">    4.7  Flusso di approvazione</w:t>
      </w:r>
    </w:p>
    <w:p>
      <w:pPr>
        <w:spacing w:before="20" w:after="20"/>
      </w:pPr>
      <w:r>
        <w:rPr>
          <w:rFonts w:ascii="Arial" w:hAnsi="Arial"/>
          <w:sz w:val="22"/>
        </w:rPr>
        <w:t xml:space="preserve">    4.8  Firma digitale</w:t>
      </w:r>
    </w:p>
    <w:p>
      <w:pPr>
        <w:spacing w:before="20" w:after="20"/>
      </w:pPr>
      <w:r>
        <w:rPr>
          <w:rFonts w:ascii="Arial" w:hAnsi="Arial"/>
          <w:sz w:val="22"/>
        </w:rPr>
        <w:t xml:space="preserve">    4.9  Gestione documenti cliente</w:t>
      </w:r>
    </w:p>
    <w:p>
      <w:pPr>
        <w:spacing w:before="20" w:after="20"/>
      </w:pPr>
      <w:r>
        <w:rPr>
          <w:rFonts w:ascii="Arial" w:hAnsi="Arial"/>
          <w:sz w:val="22"/>
        </w:rPr>
        <w:t xml:space="preserve">    4.10 Automazioni e notifiche</w:t>
      </w:r>
    </w:p>
    <w:p>
      <w:pPr>
        <w:spacing w:before="20" w:after="20"/>
      </w:pPr>
      <w:r>
        <w:rPr>
          <w:rFonts w:ascii="Arial" w:hAnsi="Arial"/>
          <w:sz w:val="22"/>
        </w:rPr>
        <w:t xml:space="preserve">    4.11 Output documentale (stampe PDF)</w:t>
      </w:r>
    </w:p>
    <w:p>
      <w:pPr>
        <w:spacing w:before="20" w:after="20"/>
      </w:pPr>
      <w:r>
        <w:rPr>
          <w:rFonts w:ascii="Arial" w:hAnsi="Arial"/>
          <w:sz w:val="22"/>
        </w:rPr>
        <w:t>5. Gap Analysis</w:t>
      </w:r>
    </w:p>
    <w:p>
      <w:pPr>
        <w:spacing w:before="20" w:after="20"/>
      </w:pPr>
      <w:r>
        <w:rPr>
          <w:rFonts w:ascii="Arial" w:hAnsi="Arial"/>
          <w:sz w:val="22"/>
        </w:rPr>
        <w:t>6. Configurazioni di Sistema</w:t>
      </w:r>
    </w:p>
    <w:p>
      <w:pPr>
        <w:spacing w:before="20" w:after="20"/>
      </w:pPr>
      <w:r>
        <w:rPr>
          <w:rFonts w:ascii="Arial" w:hAnsi="Arial"/>
          <w:sz w:val="22"/>
        </w:rPr>
        <w:t>7. Open Points</w:t>
      </w:r>
    </w:p>
    <w:p>
      <w:r>
        <w:br w:type="page"/>
      </w:r>
    </w:p>
    <w:p>
      <w:pPr>
        <w:pStyle w:val="Heading1"/>
        <w:jc w:val="left"/>
      </w:pPr>
      <w:r>
        <w:rPr>
          <w:rFonts w:ascii="Arial" w:hAnsi="Arial"/>
          <w:color w:val="2D7206"/>
          <w:sz w:val="32"/>
        </w:rPr>
        <w:t>3. Processo AS-IS</w:t>
      </w:r>
    </w:p>
    <w:p>
      <w:pPr>
        <w:spacing w:before="60" w:after="60"/>
      </w:pPr>
      <w:r>
        <w:rPr>
          <w:rFonts w:ascii="Arial" w:hAnsi="Arial"/>
          <w:i w:val="0"/>
          <w:color w:val="000000"/>
          <w:sz w:val="22"/>
        </w:rPr>
        <w:t>TEA Ambiente e Ecologia gestisce annualmente circa 400–500 offerte per servizi standard di smaltimento rifiuti (Rifiuti Speciali) e circa 100 contratti per l'accesso agli impianti interni (TMB e Discarica). L'intero processo commerciale — dalla ricezione della richiesta alla firma del contratto — è attualmente gestito tramite strumenti non integrati: file Excel di tracciamento, stampa unione Word/Excel per i documenti, casella email condivisa. Non esiste un sistema centralizzato per la gestione delle offerte.</w:t>
      </w:r>
    </w:p>
    <w:p>
      <w:pPr>
        <w:pStyle w:val="Heading2"/>
        <w:jc w:val="left"/>
      </w:pPr>
      <w:r>
        <w:rPr>
          <w:rFonts w:ascii="Arial" w:hAnsi="Arial"/>
          <w:color w:val="3B9408"/>
          <w:sz w:val="26"/>
        </w:rPr>
        <w:t>3.1  Contesto e volumi</w:t>
      </w:r>
    </w:p>
    <w:tbl>
      <w:tblPr>
        <w:tblW w:type="auto" w:w="0"/>
        <w:tblLook w:firstColumn="1" w:firstRow="1" w:lastColumn="0" w:lastRow="0" w:noHBand="0" w:noVBand="1" w:val="04A0"/>
      </w:tblPr>
      <w:tblGrid>
        <w:gridCol w:w="3009"/>
        <w:gridCol w:w="3009"/>
        <w:gridCol w:w="3009"/>
      </w:tblGrid>
      <w:tr>
        <w:tc>
          <w:tcPr>
            <w:tcW w:type="dxa" w:w="2835"/>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Tipo documento</w:t>
            </w:r>
          </w:p>
        </w:tc>
        <w:tc>
          <w:tcPr>
            <w:tcW w:type="dxa" w:w="1984"/>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Volume annuo stimato</w:t>
            </w:r>
          </w:p>
        </w:tc>
        <w:tc>
          <w:tcPr>
            <w:tcW w:type="dxa" w:w="4535"/>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Note</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Offerta Rifiuti Speciali</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~400–500</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Flusso standard, tariffe unitarie €/kg o €/viaggio</w:t>
            </w:r>
          </w:p>
        </w:tc>
      </w:tr>
      <w:tr>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Offerta TMB</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~50–100</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Trattamento meccanico-biologico, validità annuale</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Contratto Discarica</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~50</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Documento formale esteso (17–20 pagine), allegati multipli</w:t>
            </w:r>
          </w:p>
        </w:tc>
      </w:tr>
      <w:tr>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Clienti attivi</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~500</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Su ~5.000 anagrafiche totali nel gestionale VMS</w:t>
            </w:r>
          </w:p>
        </w:tc>
      </w:tr>
    </w:tbl>
    <w:p/>
    <w:p>
      <w:pPr>
        <w:pStyle w:val="Heading2"/>
        <w:jc w:val="left"/>
      </w:pPr>
      <w:r>
        <w:rPr>
          <w:rFonts w:ascii="Arial" w:hAnsi="Arial"/>
          <w:color w:val="3B9408"/>
          <w:sz w:val="26"/>
        </w:rPr>
        <w:t>3.2  Attori e ruoli</w:t>
      </w:r>
    </w:p>
    <w:tbl>
      <w:tblPr>
        <w:tblW w:type="auto" w:w="0"/>
        <w:tblLook w:firstColumn="1" w:firstRow="1" w:lastColumn="0" w:lastRow="0" w:noHBand="0" w:noVBand="1" w:val="04A0"/>
      </w:tblPr>
      <w:tblGrid>
        <w:gridCol w:w="3009"/>
        <w:gridCol w:w="3009"/>
        <w:gridCol w:w="3009"/>
      </w:tblGrid>
      <w:tr>
        <w:tc>
          <w:tcPr>
            <w:tcW w:type="dxa" w:w="226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Ruolo</w:t>
            </w:r>
          </w:p>
        </w:tc>
        <w:tc>
          <w:tcPr>
            <w:tcW w:type="dxa" w:w="226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Persona</w:t>
            </w:r>
          </w:p>
        </w:tc>
        <w:tc>
          <w:tcPr>
            <w:tcW w:type="dxa" w:w="4819"/>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Attività nel processo AS-IS</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Commerciale (2 persone)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Noemi Menegazzo + 1</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Riceve richieste, registra su Excel, contatta impianti per prezzi, compila offerta via stampa unione, invia per approvazione</w:t>
            </w:r>
          </w:p>
        </w:tc>
      </w:tr>
      <w:tr>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Backoffice (part-time)</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Claudia Grazioli</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Assegna numero di protocollo progressivo, inserisce contratto su VMS, coordina la logistica esterna post-accettazione</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Responsabile Commerciale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Andrea Bassoli</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Rivede e firma le offerte prima dell'invio al cliente (firma legale)</w:t>
            </w:r>
          </w:p>
        </w:tc>
      </w:tr>
      <w:tr>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Referente cliente</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Luisa Fiorini</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Supervisione progetto lato TEA A&amp;E</w:t>
            </w:r>
          </w:p>
        </w:tc>
      </w:tr>
    </w:tbl>
    <w:p/>
    <w:p>
      <w:pPr>
        <w:pStyle w:val="Heading2"/>
        <w:jc w:val="left"/>
      </w:pPr>
      <w:r>
        <w:rPr>
          <w:rFonts w:ascii="Arial" w:hAnsi="Arial"/>
          <w:color w:val="3B9408"/>
          <w:sz w:val="26"/>
        </w:rPr>
        <w:t>3.3  Flusso operativo attuale</w:t>
      </w:r>
    </w:p>
    <w:p>
      <w:pPr>
        <w:pStyle w:val="ListBullet"/>
        <w:spacing w:before="20" w:after="20"/>
      </w:pPr>
      <w:r>
        <w:rPr>
          <w:rFonts w:ascii="Arial" w:hAnsi="Arial"/>
          <w:sz w:val="22"/>
        </w:rPr>
        <w:t>Ricezione richiesta tramite email (casella generica commercialeambiente@aspa.it), portale PST o telefono</w:t>
      </w:r>
    </w:p>
    <w:p>
      <w:pPr>
        <w:pStyle w:val="ListBullet"/>
        <w:spacing w:before="20" w:after="20"/>
      </w:pPr>
      <w:r>
        <w:rPr>
          <w:rFonts w:ascii="Arial" w:hAnsi="Arial"/>
          <w:sz w:val="22"/>
        </w:rPr>
        <w:t>Inserimento manuale su file Excel: commerciale, cliente, data, canale di arrivo, codice rifiuto, impianto di destino, stato avanzamento</w:t>
      </w:r>
    </w:p>
    <w:p>
      <w:pPr>
        <w:pStyle w:val="ListBullet"/>
        <w:spacing w:before="20" w:after="20"/>
      </w:pPr>
      <w:r>
        <w:rPr>
          <w:rFonts w:ascii="Arial" w:hAnsi="Arial"/>
          <w:sz w:val="22"/>
        </w:rPr>
        <w:t>Contatto impianto di destino per verifica accettabilità del rifiuto e ottenimento del costo</w:t>
      </w:r>
    </w:p>
    <w:p>
      <w:pPr>
        <w:pStyle w:val="ListBullet"/>
        <w:spacing w:before="20" w:after="20"/>
      </w:pPr>
      <w:r>
        <w:rPr>
          <w:rFonts w:ascii="Arial" w:hAnsi="Arial"/>
          <w:sz w:val="22"/>
        </w:rPr>
        <w:t>Calcolo del prezzo cliente: costo fornitore + ricarico percentuale (mediamente 15–20%)</w:t>
      </w:r>
    </w:p>
    <w:p>
      <w:pPr>
        <w:pStyle w:val="ListBullet"/>
        <w:spacing w:before="20" w:after="20"/>
      </w:pPr>
      <w:r>
        <w:rPr>
          <w:rFonts w:ascii="Arial" w:hAnsi="Arial"/>
          <w:sz w:val="22"/>
        </w:rPr>
        <w:t>Compilazione del documento di offerta tramite stampa unione Word/Excel (template pre-esistenti)</w:t>
      </w:r>
    </w:p>
    <w:p>
      <w:pPr>
        <w:pStyle w:val="ListBullet"/>
        <w:spacing w:before="20" w:after="20"/>
      </w:pPr>
      <w:r>
        <w:rPr>
          <w:rFonts w:ascii="Arial" w:hAnsi="Arial"/>
          <w:sz w:val="22"/>
        </w:rPr>
        <w:t>Invio bozza al backoffice per l'assegnazione del numero di protocollo progressivo</w:t>
      </w:r>
    </w:p>
    <w:p>
      <w:pPr>
        <w:pStyle w:val="ListBullet"/>
        <w:spacing w:before="20" w:after="20"/>
      </w:pPr>
      <w:r>
        <w:rPr>
          <w:rFonts w:ascii="Arial" w:hAnsi="Arial"/>
          <w:sz w:val="22"/>
        </w:rPr>
        <w:t>Firma del documento da parte del Responsabile Commerciale (Andrea Bassoli) — firma legale verso il cliente</w:t>
      </w:r>
    </w:p>
    <w:p>
      <w:pPr>
        <w:pStyle w:val="ListBullet"/>
        <w:spacing w:before="20" w:after="20"/>
      </w:pPr>
      <w:r>
        <w:rPr>
          <w:rFonts w:ascii="Arial" w:hAnsi="Arial"/>
          <w:sz w:val="22"/>
        </w:rPr>
        <w:t>Invio dell'offerta firmata al cliente (via email o posta)</w:t>
      </w:r>
    </w:p>
    <w:p>
      <w:pPr>
        <w:pStyle w:val="ListBullet"/>
        <w:spacing w:before="20" w:after="20"/>
      </w:pPr>
      <w:r>
        <w:rPr>
          <w:rFonts w:ascii="Arial" w:hAnsi="Arial"/>
          <w:sz w:val="22"/>
        </w:rPr>
        <w:t>In caso di accettazione: il backoffice inserisce il contratto nel gestionale VMS e fornisce input alla logistica esterna per organizzare il ritiro</w:t>
      </w:r>
    </w:p>
    <w:p>
      <w:pPr>
        <w:pStyle w:val="ListBullet"/>
        <w:spacing w:before="20" w:after="20"/>
      </w:pPr>
      <w:r>
        <w:rPr>
          <w:rFonts w:ascii="Arial" w:hAnsi="Arial"/>
          <w:sz w:val="22"/>
        </w:rPr>
        <w:t>Fatturazione mensile a consuntivo sul peso effettivo rilevato a destino (gestita dall'ufficio FA, fuori dal processo commerciale)</w:t>
      </w:r>
    </w:p>
    <w:p/>
    <w:p>
      <w:pPr>
        <w:pStyle w:val="Heading2"/>
        <w:jc w:val="left"/>
      </w:pPr>
      <w:r>
        <w:rPr>
          <w:rFonts w:ascii="Arial" w:hAnsi="Arial"/>
          <w:color w:val="3B9408"/>
          <w:sz w:val="26"/>
        </w:rPr>
        <w:t>3.4  Strumenti utilizzati</w:t>
      </w:r>
    </w:p>
    <w:tbl>
      <w:tblPr>
        <w:tblW w:type="auto" w:w="0"/>
        <w:tblLook w:firstColumn="1" w:firstRow="1" w:lastColumn="0" w:lastRow="0" w:noHBand="0" w:noVBand="1" w:val="04A0"/>
      </w:tblPr>
      <w:tblGrid>
        <w:gridCol w:w="4513"/>
        <w:gridCol w:w="4513"/>
      </w:tblGrid>
      <w:tr>
        <w:tc>
          <w:tcPr>
            <w:tcW w:type="dxa" w:w="2551"/>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Strumento</w:t>
            </w:r>
          </w:p>
        </w:tc>
        <w:tc>
          <w:tcPr>
            <w:tcW w:type="dxa" w:w="6803"/>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Utilizzo</w:t>
            </w:r>
          </w:p>
        </w:tc>
      </w:tr>
      <w:tr>
        <w:tc>
          <w:tcPr>
            <w:tcW w:type="dxa" w:w="4513"/>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File Excel (tracciamento commesse)</w:t>
            </w:r>
          </w:p>
        </w:tc>
        <w:tc>
          <w:tcPr>
            <w:tcW w:type="dxa" w:w="4513"/>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Registro di tutte le offerte: cliente, rifiuto, impianto, stato, protocollo</w:t>
            </w:r>
          </w:p>
        </w:tc>
      </w:tr>
      <w:tr>
        <w:tc>
          <w:tcPr>
            <w:tcW w:type="dxa" w:w="4513"/>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Stampa unione Word + Excel</w:t>
            </w:r>
          </w:p>
        </w:tc>
        <w:tc>
          <w:tcPr>
            <w:tcW w:type="dxa" w:w="4513"/>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Generazione dei documenti di offerta/contratto per le tre tipologie</w:t>
            </w:r>
          </w:p>
        </w:tc>
      </w:tr>
      <w:tr>
        <w:tc>
          <w:tcPr>
            <w:tcW w:type="dxa" w:w="4513"/>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Email (casella generica)</w:t>
            </w:r>
          </w:p>
        </w:tc>
        <w:tc>
          <w:tcPr>
            <w:tcW w:type="dxa" w:w="4513"/>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Ricezione richieste (~50 email/giorno, non tutte pertinenti), comunicazioni cliente e impianti</w:t>
            </w:r>
          </w:p>
        </w:tc>
      </w:tr>
      <w:tr>
        <w:tc>
          <w:tcPr>
            <w:tcW w:type="dxa" w:w="4513"/>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VMS (gestionale interno)</w:t>
            </w:r>
          </w:p>
        </w:tc>
        <w:tc>
          <w:tcPr>
            <w:tcW w:type="dxa" w:w="4513"/>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Tracciabilità movimentazione rifiuti e fatturazione attiva — fuori dal perimetro Odoo</w:t>
            </w:r>
          </w:p>
        </w:tc>
      </w:tr>
      <w:tr>
        <w:tc>
          <w:tcPr>
            <w:tcW w:type="dxa" w:w="4513"/>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Drive aziendale condiviso</w:t>
            </w:r>
          </w:p>
        </w:tc>
        <w:tc>
          <w:tcPr>
            <w:tcW w:type="dxa" w:w="4513"/>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Archiviazione foto sopralluogi, documentazione tecnica, file condivisi con logistica esterna</w:t>
            </w:r>
          </w:p>
        </w:tc>
      </w:tr>
    </w:tbl>
    <w:p/>
    <w:p>
      <w:pPr>
        <w:pStyle w:val="Heading2"/>
        <w:jc w:val="left"/>
      </w:pPr>
      <w:r>
        <w:rPr>
          <w:rFonts w:ascii="Arial" w:hAnsi="Arial"/>
          <w:color w:val="3B9408"/>
          <w:sz w:val="26"/>
        </w:rPr>
        <w:t>3.5  Pain point rilevati</w:t>
      </w:r>
    </w:p>
    <w:p>
      <w:pPr>
        <w:pStyle w:val="ListBullet"/>
        <w:spacing w:before="20" w:after="20"/>
      </w:pPr>
      <w:r>
        <w:rPr>
          <w:rFonts w:ascii="Arial" w:hAnsi="Arial"/>
          <w:sz w:val="22"/>
        </w:rPr>
        <w:t>Tracciamento su Excel: nessuna visibilità centralizzata sul backlog, difficile monitorare offerte in sospeso</w:t>
      </w:r>
    </w:p>
    <w:p>
      <w:pPr>
        <w:pStyle w:val="ListBullet"/>
        <w:spacing w:before="20" w:after="20"/>
      </w:pPr>
      <w:r>
        <w:rPr>
          <w:rFonts w:ascii="Arial" w:hAnsi="Arial"/>
          <w:sz w:val="22"/>
        </w:rPr>
        <w:t>Casella email condivisa molto trafficata (~50 msg/giorno): impossibile separare le richieste di offerta dalle altre comunicazioni senza inoltro manuale</w:t>
      </w:r>
    </w:p>
    <w:p>
      <w:pPr>
        <w:pStyle w:val="ListBullet"/>
        <w:spacing w:before="20" w:after="20"/>
      </w:pPr>
      <w:r>
        <w:rPr>
          <w:rFonts w:ascii="Arial" w:hAnsi="Arial"/>
          <w:sz w:val="22"/>
        </w:rPr>
        <w:t>Nessun versionamento delle offerte: modifiche e revisioni non tracciabili</w:t>
      </w:r>
    </w:p>
    <w:p>
      <w:pPr>
        <w:pStyle w:val="ListBullet"/>
        <w:spacing w:before="20" w:after="20"/>
      </w:pPr>
      <w:r>
        <w:rPr>
          <w:rFonts w:ascii="Arial" w:hAnsi="Arial"/>
          <w:sz w:val="22"/>
        </w:rPr>
        <w:t>Numero di protocollo assegnato manualmente dal backoffice: rischio errori, ritardi, dipendenza da una singola persona</w:t>
      </w:r>
    </w:p>
    <w:p>
      <w:pPr>
        <w:pStyle w:val="ListBullet"/>
        <w:spacing w:before="20" w:after="20"/>
      </w:pPr>
      <w:r>
        <w:rPr>
          <w:rFonts w:ascii="Arial" w:hAnsi="Arial"/>
          <w:sz w:val="22"/>
        </w:rPr>
        <w:t>Generazione documenti via stampa unione: lenta, error-prone, difficile standardizzare</w:t>
      </w:r>
    </w:p>
    <w:p>
      <w:pPr>
        <w:pStyle w:val="ListBullet"/>
        <w:spacing w:before="20" w:after="20"/>
      </w:pPr>
      <w:r>
        <w:rPr>
          <w:rFonts w:ascii="Arial" w:hAnsi="Arial"/>
          <w:sz w:val="22"/>
        </w:rPr>
        <w:t>Firma contratto su carta o via email non strutturata: nessun audit trail, tempi lunghi</w:t>
      </w:r>
    </w:p>
    <w:p>
      <w:pPr>
        <w:pStyle w:val="ListBullet"/>
        <w:spacing w:before="20" w:after="20"/>
      </w:pPr>
      <w:r>
        <w:rPr>
          <w:rFonts w:ascii="Arial" w:hAnsi="Arial"/>
          <w:sz w:val="22"/>
        </w:rPr>
        <w:t>Follow-up per mancate risposte gestito manualmente dai commerciali, senza promemoria strutturati</w:t>
      </w:r>
    </w:p>
    <w:p>
      <w:pPr>
        <w:pStyle w:val="ListBullet"/>
        <w:spacing w:before="20" w:after="20"/>
      </w:pPr>
      <w:r>
        <w:rPr>
          <w:rFonts w:ascii="Arial" w:hAnsi="Arial"/>
          <w:sz w:val="22"/>
        </w:rPr>
        <w:t>Allegati standard (schede di caratterizzazione, privacy, condizioni generali) dispersi su Drive, allegati manualmente ad ogni invio</w:t>
      </w:r>
    </w:p>
    <w:p>
      <w:pPr>
        <w:pStyle w:val="ListBullet"/>
        <w:spacing w:before="20" w:after="20"/>
      </w:pPr>
      <w:r>
        <w:rPr>
          <w:rFonts w:ascii="Arial" w:hAnsi="Arial"/>
          <w:sz w:val="22"/>
        </w:rPr>
        <w:t>Assenza di storico centralizzato per cliente: ricostruire la storia di un servizio richiede ricerche su più file</w:t>
      </w:r>
    </w:p>
    <w:p>
      <w:pPr>
        <w:pStyle w:val="ListBullet"/>
        <w:spacing w:before="20" w:after="20"/>
      </w:pPr>
      <w:r>
        <w:rPr>
          <w:rFonts w:ascii="Arial" w:hAnsi="Arial"/>
          <w:sz w:val="22"/>
        </w:rPr>
        <w:t>Post-accettazione: il passaggio di informazioni dal commerciale al backoffice avviene verbalmente o via email, senza tracciamento strutturato</w:t>
      </w:r>
    </w:p>
    <w:p>
      <w:r>
        <w:br w:type="page"/>
      </w:r>
    </w:p>
    <w:p>
      <w:pPr>
        <w:pStyle w:val="Heading1"/>
        <w:jc w:val="left"/>
      </w:pPr>
      <w:r>
        <w:rPr>
          <w:rFonts w:ascii="Arial" w:hAnsi="Arial"/>
          <w:color w:val="2D7206"/>
          <w:sz w:val="32"/>
        </w:rPr>
        <w:t>4. Sistema TO-BE</w:t>
      </w:r>
    </w:p>
    <w:p>
      <w:pPr>
        <w:spacing w:before="60" w:after="60"/>
      </w:pPr>
      <w:r>
        <w:rPr>
          <w:rFonts w:ascii="Arial" w:hAnsi="Arial"/>
          <w:i w:val="0"/>
          <w:color w:val="000000"/>
          <w:sz w:val="22"/>
        </w:rPr>
        <w:t>La soluzione TO-BE prevede l'implementazione di Odoo Enterprise 19.0 con il modulo CRM customizzato e un modulo dedicato per la gestione delle offerte e dei contratti rifiuti. L'obiettivo è digitalizzare l'intero processo commerciale — dalla ricezione della richiesta fino alla firma del contratto da parte del cliente — eliminando i file Excel di tracciamento e la stampa unione. Il confine del sistema si chiude con il contratto firmato: l'operatività successiva (inserimento su VMS, logistica, fatturazione a consuntivo) rimane fuori dal perimetro Odoo in questa fase.</w:t>
      </w:r>
    </w:p>
    <w:p>
      <w:pPr>
        <w:pStyle w:val="Heading2"/>
        <w:jc w:val="left"/>
      </w:pPr>
      <w:r>
        <w:rPr>
          <w:rFonts w:ascii="Arial" w:hAnsi="Arial"/>
          <w:color w:val="3B9408"/>
          <w:sz w:val="26"/>
        </w:rPr>
        <w:t>4.1  Utenti e ruoli</w:t>
      </w:r>
    </w:p>
    <w:p>
      <w:pPr>
        <w:spacing w:before="60" w:after="60"/>
      </w:pPr>
      <w:r>
        <w:rPr>
          <w:rFonts w:ascii="Arial" w:hAnsi="Arial"/>
          <w:i w:val="0"/>
          <w:color w:val="000000"/>
          <w:sz w:val="22"/>
        </w:rPr>
        <w:t>Sono previsti i seguenti profili utente in Odoo:</w:t>
      </w:r>
    </w:p>
    <w:tbl>
      <w:tblPr>
        <w:tblW w:type="auto" w:w="0"/>
        <w:tblLook w:firstColumn="1" w:firstRow="1" w:lastColumn="0" w:lastRow="0" w:noHBand="0" w:noVBand="1" w:val="04A0"/>
      </w:tblPr>
      <w:tblGrid>
        <w:gridCol w:w="2256"/>
        <w:gridCol w:w="2256"/>
        <w:gridCol w:w="2256"/>
        <w:gridCol w:w="2256"/>
      </w:tblGrid>
      <w:tr>
        <w:tc>
          <w:tcPr>
            <w:tcW w:type="dxa" w:w="1701"/>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Profilo</w:t>
            </w:r>
          </w:p>
        </w:tc>
        <w:tc>
          <w:tcPr>
            <w:tcW w:type="dxa" w:w="1701"/>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Persone</w:t>
            </w:r>
          </w:p>
        </w:tc>
        <w:tc>
          <w:tcPr>
            <w:tcW w:type="dxa" w:w="3685"/>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Accessi principali</w:t>
            </w:r>
          </w:p>
        </w:tc>
        <w:tc>
          <w:tcPr>
            <w:tcW w:type="dxa" w:w="226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Restrizioni</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Commerciale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Noemi M. + nuovo commerciale (aprile 2026)</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Crea e gestisce lead e offerte; invia per approvazione; gestisce documenti cliente; accede a tutta la pipeline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Non può approvare le proprie offerte</w:t>
            </w:r>
          </w:p>
        </w:tc>
      </w:tr>
      <w:tr>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Backoffice</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Claudia Grazioli</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Stessi accessi del commerciale; necessita di notifica email alla firma del contratto per avviare le attività operative</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Approvatore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Andrea Bassoli</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Approva o rifiuta le offerte; riceve notifica email per ogni offerta in attesa di approvazione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Sola lettura su CRM e anagrafica; non può creare o modificare offerte</w:t>
            </w:r>
          </w:p>
        </w:tc>
      </w:tr>
      <w:tr>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Amministratore</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Luisa Fiorini / referente tecnico</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Configurazione completa: tipologie, listini, template documenti, parametri aziendali</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r>
    </w:tbl>
    <w:p/>
    <w:p>
      <w:pPr>
        <w:pStyle w:val="Heading2"/>
        <w:jc w:val="left"/>
      </w:pPr>
      <w:r>
        <w:rPr>
          <w:rFonts w:ascii="Arial" w:hAnsi="Arial"/>
          <w:color w:val="3B9408"/>
          <w:sz w:val="26"/>
        </w:rPr>
        <w:t>4.2  Anagrafica clienti</w:t>
      </w:r>
    </w:p>
    <w:p>
      <w:pPr>
        <w:spacing w:before="60" w:after="60"/>
      </w:pPr>
      <w:r>
        <w:rPr>
          <w:rFonts w:ascii="Arial" w:hAnsi="Arial"/>
          <w:i w:val="0"/>
          <w:color w:val="000000"/>
          <w:sz w:val="22"/>
        </w:rPr>
        <w:t>La migrazione iniziale riguarderà circa 500 clienti attivi (movimentati nell'anno precedente), non l'intera anagrafica di ~5.000 record del gestionale VMS. Ogni cliente può avere più unità produttive (sedi di ritiro): per ogni nuova sede si genera una nuova offerta con calcolo del costo di trasporto specifico. In presenza di più unità locali attive è possibile emettere un'unica offerta cumulativa intestata alla sede legale con righe dedicate per ogni sede.</w:t>
      </w:r>
    </w:p>
    <w:p>
      <w:pPr>
        <w:spacing w:before="60" w:after="60"/>
      </w:pPr>
      <w:r>
        <w:rPr>
          <w:rFonts w:ascii="Arial" w:hAnsi="Arial"/>
          <w:i w:val="0"/>
          <w:color w:val="000000"/>
          <w:sz w:val="22"/>
        </w:rPr>
        <w:t>Struttura anagrafica cliente in Odoo:</w:t>
      </w:r>
    </w:p>
    <w:p>
      <w:pPr>
        <w:pStyle w:val="ListBullet"/>
        <w:spacing w:before="20" w:after="20"/>
      </w:pPr>
      <w:r>
        <w:rPr>
          <w:rFonts w:ascii="Arial" w:hAnsi="Arial"/>
          <w:sz w:val="22"/>
        </w:rPr>
        <w:t>Sede legale (azienda): ragione sociale, P.IVA, C.F., PEC, SDI — dati per fatturazione elettronica</w:t>
      </w:r>
    </w:p>
    <w:p>
      <w:pPr>
        <w:pStyle w:val="ListBullet"/>
        <w:spacing w:before="20" w:after="20"/>
      </w:pPr>
      <w:r>
        <w:rPr>
          <w:rFonts w:ascii="Arial" w:hAnsi="Arial"/>
          <w:sz w:val="22"/>
        </w:rPr>
        <w:t>Unità produttive (indirizzi figli): sede di prelievo del rifiuto — fondamentale per calcolo trasporto e documenti di trasporto</w:t>
      </w:r>
    </w:p>
    <w:p>
      <w:pPr>
        <w:pStyle w:val="ListBullet"/>
        <w:spacing w:before="20" w:after="20"/>
      </w:pPr>
      <w:r>
        <w:rPr>
          <w:rFonts w:ascii="Arial" w:hAnsi="Arial"/>
          <w:sz w:val="22"/>
        </w:rPr>
        <w:t>Contatto referente: persona fisica dell'ufficio commerciale cliente (separato dalla sede legale)</w:t>
      </w:r>
    </w:p>
    <w:p>
      <w:pPr>
        <w:spacing w:before="60" w:after="60"/>
      </w:pPr>
      <w:r>
        <w:rPr>
          <w:rFonts w:ascii="Arial" w:hAnsi="Arial"/>
          <w:i w:val="0"/>
          <w:color w:val="000000"/>
          <w:sz w:val="22"/>
        </w:rPr>
        <w:t>I dati di fatturazione elettronica (codice SDI, PEC) vengono raccolti post-accettazione tramite un modulo allegato all'offerta, non al momento della creazione dell'anagrafica.</w:t>
      </w:r>
    </w:p>
    <w:p/>
    <w:p>
      <w:pPr>
        <w:pStyle w:val="Heading2"/>
        <w:jc w:val="left"/>
      </w:pPr>
      <w:r>
        <w:rPr>
          <w:rFonts w:ascii="Arial" w:hAnsi="Arial"/>
          <w:color w:val="3B9408"/>
          <w:sz w:val="26"/>
        </w:rPr>
        <w:t>4.3  Anagrafica prodotti e listino prezzi</w:t>
      </w:r>
    </w:p>
    <w:p>
      <w:pPr>
        <w:spacing w:before="60" w:after="60"/>
      </w:pPr>
      <w:r>
        <w:rPr>
          <w:rFonts w:ascii="Arial" w:hAnsi="Arial"/>
          <w:i w:val="0"/>
          <w:color w:val="000000"/>
          <w:sz w:val="22"/>
        </w:rPr>
        <w:t>I 'prodotti' in TEA A&amp;E sono i rifiuti da smaltire, identificati dal codice CER. La struttura concordata prevede:</w:t>
      </w:r>
    </w:p>
    <w:p>
      <w:pPr>
        <w:pStyle w:val="ListBullet"/>
        <w:spacing w:before="20" w:after="20"/>
      </w:pPr>
      <w:r>
        <w:rPr>
          <w:rFonts w:ascii="Arial" w:hAnsi="Arial"/>
          <w:sz w:val="22"/>
        </w:rPr>
        <w:t>Codice CER padre (6 cifre): tabella di riferimento normativo con flag rifiuto pericoloso</w:t>
      </w:r>
    </w:p>
    <w:p>
      <w:pPr>
        <w:pStyle w:val="ListBullet"/>
        <w:spacing w:before="20" w:after="20"/>
      </w:pPr>
      <w:r>
        <w:rPr>
          <w:rFonts w:ascii="Arial" w:hAnsi="Arial"/>
          <w:sz w:val="22"/>
        </w:rPr>
        <w:t>Prodotto CER: identificato da un codice interno concatenato (CER + sotto-tipo + stato fisico, es. 020104RETIS2); ogni combinazione è un prodotto distinto di tipo servizio</w:t>
      </w:r>
    </w:p>
    <w:p>
      <w:pPr>
        <w:pStyle w:val="ListBullet"/>
        <w:spacing w:before="20" w:after="20"/>
      </w:pPr>
      <w:r>
        <w:rPr>
          <w:rFonts w:ascii="Arial" w:hAnsi="Arial"/>
          <w:sz w:val="22"/>
        </w:rPr>
        <w:t>Stato fisico (S1 Solido polverulento, S2 Solido non polverulento, S3 Fangoso palabile, S4 Liquido): proprietà del prodotto, discriminante per il prezzo</w:t>
      </w:r>
    </w:p>
    <w:p>
      <w:pPr>
        <w:pStyle w:val="ListBullet"/>
        <w:spacing w:before="20" w:after="20"/>
      </w:pPr>
      <w:r>
        <w:rPr>
          <w:rFonts w:ascii="Arial" w:hAnsi="Arial"/>
          <w:sz w:val="22"/>
        </w:rPr>
        <w:t>Classificazioni di pericolo HP (11 codici normativi): dato associato alla riga del listino fornitore, non al prodotto — perché uno stesso rifiuto pericoloso può avere combinazioni HP diverse per impianto</w:t>
      </w:r>
    </w:p>
    <w:p>
      <w:pPr>
        <w:pStyle w:val="ListBullet"/>
        <w:spacing w:before="20" w:after="20"/>
      </w:pPr>
      <w:r>
        <w:rPr>
          <w:rFonts w:ascii="Arial" w:hAnsi="Arial"/>
          <w:sz w:val="22"/>
        </w:rPr>
        <w:t>Operazioni R/D (es. R1–R13, D1–D15): dato interno operativo per Claudia (documenti di trasporto su VMS); raramente visibile in stampa</w:t>
      </w:r>
    </w:p>
    <w:p/>
    <w:p>
      <w:pPr>
        <w:spacing w:before="60" w:after="60"/>
      </w:pPr>
      <w:r>
        <w:rPr>
          <w:rFonts w:ascii="Arial" w:hAnsi="Arial"/>
          <w:i w:val="0"/>
          <w:color w:val="000000"/>
          <w:sz w:val="22"/>
        </w:rPr>
        <w:t>Il listino prezzi è strutturato come segue:</w:t>
      </w:r>
    </w:p>
    <w:tbl>
      <w:tblPr>
        <w:tblW w:type="auto" w:w="0"/>
        <w:tblLook w:firstColumn="1" w:firstRow="1" w:lastColumn="0" w:lastRow="0" w:noHBand="0" w:noVBand="1" w:val="04A0"/>
      </w:tblPr>
      <w:tblGrid>
        <w:gridCol w:w="3009"/>
        <w:gridCol w:w="3009"/>
        <w:gridCol w:w="3009"/>
      </w:tblGrid>
      <w:tr>
        <w:tc>
          <w:tcPr>
            <w:tcW w:type="dxa" w:w="226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Elemento</w:t>
            </w:r>
          </w:p>
        </w:tc>
        <w:tc>
          <w:tcPr>
            <w:tcW w:type="dxa" w:w="311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Regola</w:t>
            </w:r>
          </w:p>
        </w:tc>
        <w:tc>
          <w:tcPr>
            <w:tcW w:type="dxa" w:w="3969"/>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Note</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Chiave univoca listino fornitore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CER + stato fisico + impianto di destino</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Ogni combinazione ha un prezzo specifico</w:t>
            </w:r>
          </w:p>
        </w:tc>
      </w:tr>
      <w:tr>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Scadenza listino</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Prevalentemente annuale (31/12); alcuni fornitori aggiornano semestralmente (30/06)</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Utile impostare date inizio/fine per promemoria</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Prezzo di acquisto</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€/kg — definito dal contratto con il fornitore (impianto)</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Base per il calcolo del prezzo di vendita</w:t>
            </w:r>
          </w:p>
        </w:tc>
      </w:tr>
      <w:tr>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Ricarico cliente</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Percentuale: mediamente 15–20%, applicata manualmente dal commerciale</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Il prezzo di vendita è sempre editabile</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Minimo fatturabile impianto</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Campo definito dal contratto fornitore (€/formulario o €/totale)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Non coincide sempre con il minimo verso il cliente</w:t>
            </w:r>
          </w:p>
        </w:tc>
      </w:tr>
      <w:tr>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Minimo fatturabile cliente</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Campo a compilazione libera; due modalità: per singolo rifiuto/formulario oppure cumulativo su tutti i rifiuti del ritiro</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Gestito in autonomia dall'ufficio commerciale</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Codice rifiuto come nome prodotto</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Il codice interno (es. 020104RETIS2) è il nome principale del prodotto nel sistema</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La descrizione testuale è un campo separato</w:t>
            </w:r>
          </w:p>
        </w:tc>
      </w:tr>
    </w:tbl>
    <w:p/>
    <w:p>
      <w:pPr>
        <w:spacing w:before="60" w:after="60"/>
      </w:pPr>
      <w:r>
        <w:rPr>
          <w:rFonts w:ascii="Arial" w:hAnsi="Arial"/>
          <w:i w:val="0"/>
          <w:color w:val="000000"/>
          <w:sz w:val="22"/>
        </w:rPr>
        <w:t>Costi di trasporto — gestione separata dalle righe CER:</w:t>
      </w:r>
    </w:p>
    <w:p>
      <w:pPr>
        <w:pStyle w:val="ListBullet"/>
        <w:spacing w:before="20" w:after="20"/>
      </w:pPr>
      <w:r>
        <w:rPr>
          <w:rFonts w:ascii="Arial" w:hAnsi="Arial"/>
          <w:sz w:val="22"/>
        </w:rPr>
        <w:t>Autocarro ragno: tariffa a fasce chilometriche (€/viaggio) — riga dedicata per ogni codice CER, mai cumulativa</w:t>
      </w:r>
    </w:p>
    <w:p>
      <w:pPr>
        <w:pStyle w:val="ListBullet"/>
        <w:spacing w:before="20" w:after="20"/>
      </w:pPr>
      <w:r>
        <w:rPr>
          <w:rFonts w:ascii="Arial" w:hAnsi="Arial"/>
          <w:sz w:val="22"/>
        </w:rPr>
        <w:t>Furgone: tariffe a scaglioni per m³ — riga cumulativa per più codici CER, oppure riga singola se i m³ sono noti</w:t>
      </w:r>
    </w:p>
    <w:p>
      <w:pPr>
        <w:pStyle w:val="ListBullet"/>
        <w:spacing w:before="20" w:after="20"/>
      </w:pPr>
      <w:r>
        <w:rPr>
          <w:rFonts w:ascii="Arial" w:hAnsi="Arial"/>
          <w:sz w:val="22"/>
        </w:rPr>
        <w:t>Extra sosta: voce fissa (€) addebitata se le operazioni di carico/scarico superano l'ora inclusa nella tariffa</w:t>
      </w:r>
    </w:p>
    <w:p>
      <w:pPr>
        <w:pStyle w:val="ListBullet"/>
        <w:spacing w:before="20" w:after="20"/>
      </w:pPr>
      <w:r>
        <w:rPr>
          <w:rFonts w:ascii="Arial" w:hAnsi="Arial"/>
          <w:sz w:val="22"/>
        </w:rPr>
        <w:t>Analisi: costo variabile specifico per rifiuto, affidato a laboratori esterni — da includere nell'offerta se richiesto</w:t>
      </w:r>
    </w:p>
    <w:p>
      <w:pPr>
        <w:pStyle w:val="ListBullet"/>
        <w:spacing w:before="20" w:after="20"/>
      </w:pPr>
      <w:r>
        <w:rPr>
          <w:rFonts w:ascii="Arial" w:hAnsi="Arial"/>
          <w:sz w:val="22"/>
        </w:rPr>
        <w:t>Noleggio cassoni/contenitori: servizio opzionale, incluso nella stessa offerta dello smaltimento</w:t>
      </w:r>
    </w:p>
    <w:p/>
    <w:p>
      <w:pPr>
        <w:pStyle w:val="Heading2"/>
        <w:jc w:val="left"/>
      </w:pPr>
      <w:r>
        <w:rPr>
          <w:rFonts w:ascii="Arial" w:hAnsi="Arial"/>
          <w:color w:val="3B9408"/>
          <w:sz w:val="26"/>
        </w:rPr>
        <w:t>4.4  Pipeline commerciale (CRM)</w:t>
      </w:r>
    </w:p>
    <w:p>
      <w:pPr>
        <w:spacing w:before="60" w:after="60"/>
      </w:pPr>
      <w:r>
        <w:rPr>
          <w:rFonts w:ascii="Arial" w:hAnsi="Arial"/>
          <w:i w:val="0"/>
          <w:color w:val="000000"/>
          <w:sz w:val="22"/>
        </w:rPr>
        <w:t>La pipeline CRM sostituisce il file Excel di tracciamento. Ogni lead corrisponde a un contratto: se un cliente ha due contratti slegati si aprono due lead distinte. Sono previste più versioni dell'offerta sulla stessa lead (es. rilavorazione dopo richiesta di sconto).</w:t>
      </w:r>
    </w:p>
    <w:tbl>
      <w:tblPr>
        <w:tblW w:type="auto" w:w="0"/>
        <w:tblLook w:firstColumn="1" w:firstRow="1" w:lastColumn="0" w:lastRow="0" w:noHBand="0" w:noVBand="1" w:val="04A0"/>
      </w:tblPr>
      <w:tblGrid>
        <w:gridCol w:w="2256"/>
        <w:gridCol w:w="2256"/>
        <w:gridCol w:w="2256"/>
        <w:gridCol w:w="2256"/>
      </w:tblGrid>
      <w:tr>
        <w:tc>
          <w:tcPr>
            <w:tcW w:type="dxa" w:w="226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Stage</w:t>
            </w:r>
          </w:p>
        </w:tc>
        <w:tc>
          <w:tcPr>
            <w:tcW w:type="dxa" w:w="2551"/>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Descrizione</w:t>
            </w:r>
          </w:p>
        </w:tc>
        <w:tc>
          <w:tcPr>
            <w:tcW w:type="dxa" w:w="1701"/>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Tipo avanzamento</w:t>
            </w:r>
          </w:p>
        </w:tc>
        <w:tc>
          <w:tcPr>
            <w:tcW w:type="dxa" w:w="2835"/>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Condizioni / Note</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Nuovo</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Lead ricevuta, non ancora analizzata</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Manuale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La tipologia di offerta (RS / TMB / Discarica) deve essere impostata prima di avanzare</w:t>
            </w:r>
          </w:p>
        </w:tc>
      </w:tr>
      <w:tr>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Preso in carico</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Lead assegnata, raccolta dati in corso</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Manuale</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Elaborazione proposta</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Dati raccolti, offerta in preparazione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Manuale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Per Rifiuti Speciali: i 4 campi di stato documentazione (foto, sopralluogo, info impianto, info cliente) devono essere completati o marcati 'non necessario'. L'offerta viene creata automaticamente</w:t>
            </w:r>
          </w:p>
        </w:tc>
      </w:tr>
      <w:tr>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Proposta inviata</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Offerta inviata al cliente per firma</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Automatico</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Avanzamento automatico quando l'offerta viene inviata per firma digitale. Il passaggio manuale è bloccato</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Attesa documenti</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Offerta accettata, in attesa documentazione cliente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Automatico</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Avanzamento automatico all'accettazione dell'offerta. I documenti previsti vengono generati automaticamente. Passaggio manuale bloccato</w:t>
            </w:r>
          </w:p>
        </w:tc>
      </w:tr>
      <w:tr>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Offerta accettata</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Contratto perfezionato (Won)</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Manuale</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Bloccato finché tutti i documenti cliente non sono marcati come ricevuti (e firmati, se richiesto)</w:t>
            </w:r>
          </w:p>
        </w:tc>
      </w:tr>
    </w:tbl>
    <w:p/>
    <w:p>
      <w:pPr>
        <w:spacing w:before="60" w:after="60"/>
      </w:pPr>
      <w:r>
        <w:rPr>
          <w:rFonts w:ascii="Arial" w:hAnsi="Arial"/>
          <w:i w:val="0"/>
          <w:color w:val="000000"/>
          <w:sz w:val="22"/>
        </w:rPr>
        <w:t>Elementi nascosti/non utilizzati dal CRM standard: bottone 'Vinto' standard (sostituito dallo stage), ricavi stimati e probabilità AI (non pertinenti per questo flusso), bottone 'Avanza' sugli stage con blocco automatico.</w:t>
      </w:r>
    </w:p>
    <w:p/>
    <w:p>
      <w:pPr>
        <w:pStyle w:val="Heading2"/>
        <w:jc w:val="left"/>
      </w:pPr>
      <w:r>
        <w:rPr>
          <w:rFonts w:ascii="Arial" w:hAnsi="Arial"/>
          <w:color w:val="3B9408"/>
          <w:sz w:val="26"/>
        </w:rPr>
        <w:t>4.5  Gestione offerta/contratto</w:t>
      </w:r>
    </w:p>
    <w:p>
      <w:pPr>
        <w:spacing w:before="60" w:after="60"/>
      </w:pPr>
      <w:r>
        <w:rPr>
          <w:rFonts w:ascii="Arial" w:hAnsi="Arial"/>
          <w:i w:val="0"/>
          <w:color w:val="000000"/>
          <w:sz w:val="22"/>
        </w:rPr>
        <w:t>Il sistema standard di preventivi (Sales Quotation) di Odoo non viene utilizzato: viene creato un oggetto dedicato 'Offerta/Contratto' (collegato alla lead CRM) che gestisce il ciclo di vita del documento commerciale.</w:t>
      </w:r>
    </w:p>
    <w:p>
      <w:pPr>
        <w:spacing w:before="60" w:after="60"/>
      </w:pPr>
      <w:r>
        <w:rPr>
          <w:rFonts w:ascii="Arial" w:hAnsi="Arial"/>
          <w:i w:val="0"/>
          <w:color w:val="000000"/>
          <w:sz w:val="22"/>
        </w:rPr>
        <w:t>Campi comuni a tutte le tipologie di offerta:</w:t>
      </w:r>
    </w:p>
    <w:p>
      <w:pPr>
        <w:pStyle w:val="ListBullet"/>
        <w:spacing w:before="20" w:after="20"/>
      </w:pPr>
      <w:r>
        <w:rPr>
          <w:rFonts w:ascii="Arial" w:hAnsi="Arial"/>
          <w:sz w:val="22"/>
        </w:rPr>
        <w:t>Cliente (azienda) e Contatto (persona fisica): ereditati dalla lead, non modificabili sull'offerta</w:t>
      </w:r>
    </w:p>
    <w:p>
      <w:pPr>
        <w:pStyle w:val="ListBullet"/>
        <w:spacing w:before="20" w:after="20"/>
      </w:pPr>
      <w:r>
        <w:rPr>
          <w:rFonts w:ascii="Arial" w:hAnsi="Arial"/>
          <w:sz w:val="22"/>
        </w:rPr>
        <w:t>Tipo offerta: Rifiuti Speciali / TMB / Discarica — determina il template PDF e i campi visibili</w:t>
      </w:r>
    </w:p>
    <w:p>
      <w:pPr>
        <w:pStyle w:val="ListBullet"/>
        <w:spacing w:before="20" w:after="20"/>
      </w:pPr>
      <w:r>
        <w:rPr>
          <w:rFonts w:ascii="Arial" w:hAnsi="Arial"/>
          <w:sz w:val="22"/>
        </w:rPr>
        <w:t>Data offerta e periodo di validità</w:t>
      </w:r>
    </w:p>
    <w:p>
      <w:pPr>
        <w:pStyle w:val="ListBullet"/>
        <w:spacing w:before="20" w:after="20"/>
      </w:pPr>
      <w:r>
        <w:rPr>
          <w:rFonts w:ascii="Arial" w:hAnsi="Arial"/>
          <w:sz w:val="22"/>
        </w:rPr>
        <w:t>Riferimento/numero protocollo (generato automaticamente per Rifiuti Speciali)</w:t>
      </w:r>
    </w:p>
    <w:p>
      <w:pPr>
        <w:pStyle w:val="ListBullet"/>
        <w:spacing w:before="20" w:after="20"/>
      </w:pPr>
      <w:r>
        <w:rPr>
          <w:rFonts w:ascii="Arial" w:hAnsi="Arial"/>
          <w:sz w:val="22"/>
        </w:rPr>
        <w:t>Stato: Bozza / In approvazione / Approvata / Inviata / Accettata / Rifiutata cliente / Rifiutata approvatore</w:t>
      </w:r>
    </w:p>
    <w:p>
      <w:pPr>
        <w:pStyle w:val="ListBullet"/>
        <w:spacing w:before="20" w:after="20"/>
      </w:pPr>
      <w:r>
        <w:rPr>
          <w:rFonts w:ascii="Arial" w:hAnsi="Arial"/>
          <w:sz w:val="22"/>
        </w:rPr>
        <w:t>Note offerta (visibili nel PDF) e Note interne (non visibili al cliente)</w:t>
      </w:r>
    </w:p>
    <w:p>
      <w:pPr>
        <w:pStyle w:val="ListBullet"/>
        <w:spacing w:before="20" w:after="20"/>
      </w:pPr>
      <w:r>
        <w:rPr>
          <w:rFonts w:ascii="Arial" w:hAnsi="Arial"/>
          <w:sz w:val="22"/>
        </w:rPr>
        <w:t>PDF offerta modificata manualmente: campo per caricare un PDF personalizzato che sovrascrive il PDF auto-generato</w:t>
      </w:r>
    </w:p>
    <w:p/>
    <w:p>
      <w:pPr>
        <w:spacing w:before="60" w:after="60"/>
      </w:pPr>
      <w:r>
        <w:rPr>
          <w:rFonts w:ascii="Arial" w:hAnsi="Arial"/>
          <w:i w:val="0"/>
          <w:color w:val="000000"/>
          <w:sz w:val="22"/>
        </w:rPr>
        <w:t>Flusso stati dell'offerta:</w:t>
      </w:r>
    </w:p>
    <w:tbl>
      <w:tblPr>
        <w:tblW w:type="auto" w:w="0"/>
        <w:tblLook w:firstColumn="1" w:firstRow="1" w:lastColumn="0" w:lastRow="0" w:noHBand="0" w:noVBand="1" w:val="04A0"/>
      </w:tblPr>
      <w:tblGrid>
        <w:gridCol w:w="2256"/>
        <w:gridCol w:w="2256"/>
        <w:gridCol w:w="2256"/>
        <w:gridCol w:w="2256"/>
      </w:tblGrid>
      <w:tr>
        <w:tc>
          <w:tcPr>
            <w:tcW w:type="dxa" w:w="1701"/>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Stato</w:t>
            </w:r>
          </w:p>
        </w:tc>
        <w:tc>
          <w:tcPr>
            <w:tcW w:type="dxa" w:w="2551"/>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Descrizione</w:t>
            </w:r>
          </w:p>
        </w:tc>
        <w:tc>
          <w:tcPr>
            <w:tcW w:type="dxa" w:w="2551"/>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Come si raggiunge</w:t>
            </w:r>
          </w:p>
        </w:tc>
        <w:tc>
          <w:tcPr>
            <w:tcW w:type="dxa" w:w="2551"/>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Chi agisce</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Bozza</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Offerta in compilazione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Creazione automatica al passaggio a 'Elaborazione proposta'</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Commerciale, Backoffice</w:t>
            </w:r>
          </w:p>
        </w:tc>
      </w:tr>
      <w:tr>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In approvazione</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In attesa di approvazione interna</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Il commerciale clicca 'Invia in approvazione'</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Approvatore/Admin: approva o rifiuta</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Approvata</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Approvata internamente, pronta per invio</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L'approvatore clicca 'Approva'</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Commerciale/Admin: invia per firma o carica PDF firmato</w:t>
            </w:r>
          </w:p>
        </w:tc>
      </w:tr>
      <w:tr>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Inviata</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Inviata al cliente per firma digitale</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Il commerciale invia la richiesta di firma — avanza anche la lead</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Attesa risposta cliente</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Accettata</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Il cliente ha firmato il contratto</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Automatico da firma digitale oppure manuale con PDF firmato caricato</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Lead avanza ad 'Attesa documenti'</w:t>
            </w:r>
          </w:p>
        </w:tc>
      </w:tr>
      <w:tr>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Rifiutata dal cliente</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Il cliente ha rifiutato la firma</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Automatico dal portale firma digitale</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Commerciale/Admin: riporta in bozza</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Rifiutata (approvatore)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Rifiutata internamente con motivazione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L'approvatore clicca 'Rifiuta' con motivazione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Commerciale/Admin: riporta in bozza</w:t>
            </w:r>
          </w:p>
        </w:tc>
      </w:tr>
    </w:tbl>
    <w:p/>
    <w:p>
      <w:pPr>
        <w:spacing w:before="60" w:after="60"/>
      </w:pPr>
      <w:r>
        <w:rPr>
          <w:rFonts w:ascii="Arial" w:hAnsi="Arial"/>
          <w:i w:val="0"/>
          <w:color w:val="000000"/>
          <w:sz w:val="22"/>
        </w:rPr>
        <w:t>Da qualsiasi stato è disponibile il bottone 'Persa' (per commerciale/admin) che segna come persa sia l'offerta che la lead, con campo motivazione. Il bottone 'Ripristina' riporta in bozza quando la lead è stata segnata come persa.</w:t>
      </w:r>
    </w:p>
    <w:p/>
    <w:p>
      <w:pPr>
        <w:pStyle w:val="Heading2"/>
        <w:jc w:val="left"/>
      </w:pPr>
      <w:r>
        <w:rPr>
          <w:rFonts w:ascii="Arial" w:hAnsi="Arial"/>
          <w:color w:val="3B9408"/>
          <w:sz w:val="26"/>
        </w:rPr>
        <w:t>4.6  Tipi di documento commerciale</w:t>
      </w:r>
    </w:p>
    <w:tbl>
      <w:tblPr>
        <w:tblW w:type="auto" w:w="0"/>
        <w:tblLook w:firstColumn="1" w:firstRow="1" w:lastColumn="0" w:lastRow="0" w:noHBand="0" w:noVBand="1" w:val="04A0"/>
      </w:tblPr>
      <w:tblGrid>
        <w:gridCol w:w="2256"/>
        <w:gridCol w:w="2256"/>
        <w:gridCol w:w="2256"/>
        <w:gridCol w:w="2256"/>
      </w:tblGrid>
      <w:tr>
        <w:tc>
          <w:tcPr>
            <w:tcW w:type="dxa" w:w="1417"/>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Tipo</w:t>
            </w:r>
          </w:p>
        </w:tc>
        <w:tc>
          <w:tcPr>
            <w:tcW w:type="dxa" w:w="1984"/>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Struttura offerta</w:t>
            </w:r>
          </w:p>
        </w:tc>
        <w:tc>
          <w:tcPr>
            <w:tcW w:type="dxa" w:w="2835"/>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Campi specifici</w:t>
            </w:r>
          </w:p>
        </w:tc>
        <w:tc>
          <w:tcPr>
            <w:tcW w:type="dxa" w:w="311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Note</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Rifiuti Speciali</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Righe CER (una per codice rifiuto + impianto) + righe servizi aggiuntivi per riga + servizi generali</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Per riga: prodotto CER, impianto destino, prezzo acquisto fornitore, markup %, prezzo vendita, minimo fatturabile; Servizi: trasporto, analisi, noleggio cassoni, extra sosta</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Auto-compilazione prezzi da listino fornitore al selezionare CER + impianto; markup modificabile manualmente; protocollo auto-generato</w:t>
            </w:r>
          </w:p>
        </w:tc>
      </w:tr>
      <w:tr>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TMB</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Campi piatti (nessuna riga CER)</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Prodotto CER singolo, tonnellate, prezzo trattamento €/ton, prezzo trasporto, prezzo analisi omologa; produttore opzionale</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Documento breve; validità annuale</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Discarica</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Campi piatti + elenco produttori (Allegato 2)</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CER non fanghi, CER fanghi, tonnellate, prezzi €/ton separati, fidejussione (sì/no + importo); elenco produttori con CER associato</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Contratto 17–20 pagine; flag fidejussione impostato sulla lead; Allegato 2 = lista produttori</w:t>
            </w:r>
          </w:p>
        </w:tc>
      </w:tr>
    </w:tbl>
    <w:p/>
    <w:p>
      <w:pPr>
        <w:pStyle w:val="Heading2"/>
        <w:jc w:val="left"/>
      </w:pPr>
      <w:r>
        <w:rPr>
          <w:rFonts w:ascii="Arial" w:hAnsi="Arial"/>
          <w:color w:val="3B9408"/>
          <w:sz w:val="26"/>
        </w:rPr>
        <w:t>4.7  Flusso di approvazione</w:t>
      </w:r>
    </w:p>
    <w:p>
      <w:pPr>
        <w:spacing w:before="60" w:after="60"/>
      </w:pPr>
      <w:r>
        <w:rPr>
          <w:rFonts w:ascii="Arial" w:hAnsi="Arial"/>
          <w:i w:val="0"/>
          <w:color w:val="000000"/>
          <w:sz w:val="22"/>
        </w:rPr>
        <w:t>Il flusso di approvazione concordato è il seguente:</w:t>
      </w:r>
    </w:p>
    <w:p>
      <w:pPr>
        <w:spacing w:before="60" w:after="60"/>
      </w:pPr>
      <w:r>
        <w:rPr>
          <w:rFonts w:ascii="Arial" w:hAnsi="Arial"/>
          <w:i w:val="0"/>
          <w:color w:val="000000"/>
          <w:sz w:val="22"/>
        </w:rPr>
        <w:t>1. Il commerciale compila l'offerta in Odoo e clicca 'Invia in approvazione'</w:t>
      </w:r>
    </w:p>
    <w:p>
      <w:pPr>
        <w:spacing w:before="60" w:after="60"/>
      </w:pPr>
      <w:r>
        <w:rPr>
          <w:rFonts w:ascii="Arial" w:hAnsi="Arial"/>
          <w:i w:val="0"/>
          <w:color w:val="000000"/>
          <w:sz w:val="22"/>
        </w:rPr>
        <w:t>2. L'approvatore (Andrea Bassoli) riceve una notifica email con l'elenco delle offerte in attesa</w:t>
      </w:r>
    </w:p>
    <w:p>
      <w:pPr>
        <w:spacing w:before="60" w:after="60"/>
      </w:pPr>
      <w:r>
        <w:rPr>
          <w:rFonts w:ascii="Arial" w:hAnsi="Arial"/>
          <w:i w:val="0"/>
          <w:color w:val="000000"/>
          <w:sz w:val="22"/>
        </w:rPr>
        <w:t>3. L'approvatore apre l'offerta, la rivede e clicca 'Approva' oppure 'Rifiuta' (con motivazione obbligatoria)</w:t>
      </w:r>
    </w:p>
    <w:p>
      <w:pPr>
        <w:spacing w:before="60" w:after="60"/>
      </w:pPr>
      <w:r>
        <w:rPr>
          <w:rFonts w:ascii="Arial" w:hAnsi="Arial"/>
          <w:i w:val="0"/>
          <w:color w:val="000000"/>
          <w:sz w:val="22"/>
        </w:rPr>
        <w:t>4. In caso di approvazione: il commerciale può procedere con l'invio al cliente per firma</w:t>
      </w:r>
    </w:p>
    <w:p>
      <w:pPr>
        <w:spacing w:before="60" w:after="60"/>
      </w:pPr>
      <w:r>
        <w:rPr>
          <w:rFonts w:ascii="Arial" w:hAnsi="Arial"/>
          <w:i w:val="0"/>
          <w:color w:val="000000"/>
          <w:sz w:val="22"/>
        </w:rPr>
        <w:t>5. In caso di rifiuto: l'offerta torna in bozza al commerciale con la motivazione del rifiuto</w:t>
      </w:r>
    </w:p>
    <w:p>
      <w:pPr>
        <w:spacing w:before="60" w:after="60"/>
      </w:pPr>
      <w:r>
        <w:rPr>
          <w:rFonts w:ascii="Arial" w:hAnsi="Arial"/>
          <w:i w:val="0"/>
          <w:color w:val="000000"/>
          <w:sz w:val="22"/>
        </w:rPr>
        <w:t>Un cron giornaliero invia automaticamente una email riepilogativa all'approvatore con la lista delle offerte in stato 'In approvazione' ancora in attesa. La firma apposta sui PDF delle offerte è la firma aziendale configurata nelle impostazioni.</w:t>
      </w:r>
    </w:p>
    <w:p/>
    <w:p>
      <w:pPr>
        <w:pStyle w:val="Heading2"/>
        <w:jc w:val="left"/>
      </w:pPr>
      <w:r>
        <w:rPr>
          <w:rFonts w:ascii="Arial" w:hAnsi="Arial"/>
          <w:color w:val="3B9408"/>
          <w:sz w:val="26"/>
        </w:rPr>
        <w:t>4.8  Firma digitale</w:t>
      </w:r>
    </w:p>
    <w:p>
      <w:pPr>
        <w:spacing w:before="60" w:after="60"/>
      </w:pPr>
      <w:r>
        <w:rPr>
          <w:rFonts w:ascii="Arial" w:hAnsi="Arial"/>
          <w:i w:val="0"/>
          <w:color w:val="000000"/>
          <w:sz w:val="22"/>
        </w:rPr>
        <w:t>La firma digitale tramite il modulo Odoo Sign è un requisito esplicito del cliente. Il flusso concordato:</w:t>
      </w:r>
    </w:p>
    <w:p>
      <w:pPr>
        <w:pStyle w:val="ListBullet"/>
        <w:spacing w:before="20" w:after="20"/>
      </w:pPr>
      <w:r>
        <w:rPr>
          <w:rFonts w:ascii="Arial" w:hAnsi="Arial"/>
          <w:sz w:val="22"/>
        </w:rPr>
        <w:t>L'offerta approvata genera automaticamente il PDF con firma aziendale pre-apposta</w:t>
      </w:r>
    </w:p>
    <w:p>
      <w:pPr>
        <w:pStyle w:val="ListBullet"/>
        <w:spacing w:before="20" w:after="20"/>
      </w:pPr>
      <w:r>
        <w:rPr>
          <w:rFonts w:ascii="Arial" w:hAnsi="Arial"/>
          <w:sz w:val="22"/>
        </w:rPr>
        <w:t>Il commerciale invia la richiesta di firma al cliente tramite email automatica</w:t>
      </w:r>
    </w:p>
    <w:p>
      <w:pPr>
        <w:pStyle w:val="ListBullet"/>
        <w:spacing w:before="20" w:after="20"/>
      </w:pPr>
      <w:r>
        <w:rPr>
          <w:rFonts w:ascii="Arial" w:hAnsi="Arial"/>
          <w:sz w:val="22"/>
        </w:rPr>
        <w:t>Il cliente riceve il link e firma sul portale Odoo Sign</w:t>
      </w:r>
    </w:p>
    <w:p>
      <w:pPr>
        <w:pStyle w:val="ListBullet"/>
        <w:spacing w:before="20" w:after="20"/>
      </w:pPr>
      <w:r>
        <w:rPr>
          <w:rFonts w:ascii="Arial" w:hAnsi="Arial"/>
          <w:sz w:val="22"/>
        </w:rPr>
        <w:t>All'avvenuta firma: l'offerta passa ad 'Accettata' e la lead avanza ad 'Attesa documenti' automaticamente</w:t>
      </w:r>
    </w:p>
    <w:p>
      <w:pPr>
        <w:pStyle w:val="ListBullet"/>
        <w:spacing w:before="20" w:after="20"/>
      </w:pPr>
      <w:r>
        <w:rPr>
          <w:rFonts w:ascii="Arial" w:hAnsi="Arial"/>
          <w:sz w:val="22"/>
        </w:rPr>
        <w:t>In caso di rifiuto firma da parte del cliente: l'offerta passa a 'Rifiutata dal cliente' con la motivazione salvata</w:t>
      </w:r>
    </w:p>
    <w:p>
      <w:pPr>
        <w:spacing w:before="60" w:after="60"/>
      </w:pPr>
      <w:r>
        <w:rPr>
          <w:rFonts w:ascii="Arial" w:hAnsi="Arial"/>
          <w:i w:val="0"/>
          <w:color w:val="000000"/>
          <w:sz w:val="22"/>
        </w:rPr>
        <w:t>Alternativa per clienti che non possono firmare digitalmente: il commerciale scarica il PDF, lo fa firmare fisicamente, lo carica nell'apposito campo e clicca 'Accettata' manualmente. Questa modalità è considerata un'eccezione; la firma digitale resta il flusso principale.</w:t>
      </w:r>
    </w:p>
    <w:p/>
    <w:p>
      <w:pPr>
        <w:pStyle w:val="Heading2"/>
        <w:jc w:val="left"/>
      </w:pPr>
      <w:r>
        <w:rPr>
          <w:rFonts w:ascii="Arial" w:hAnsi="Arial"/>
          <w:color w:val="3B9408"/>
          <w:sz w:val="26"/>
        </w:rPr>
        <w:t>4.9  Gestione documenti cliente</w:t>
      </w:r>
    </w:p>
    <w:p>
      <w:pPr>
        <w:spacing w:before="60" w:after="60"/>
      </w:pPr>
      <w:r>
        <w:rPr>
          <w:rFonts w:ascii="Arial" w:hAnsi="Arial"/>
          <w:i w:val="0"/>
          <w:color w:val="000000"/>
          <w:sz w:val="22"/>
        </w:rPr>
        <w:t>Al passaggio allo stage 'Attesa documenti', il sistema genera automaticamente sulla lead la lista dei documenti da raccogliere, basandosi sui template configurati per la tipologia di offerta. Il backoffice (Claudia) riceve una notifica email e gestisce la checklist.</w:t>
      </w:r>
    </w:p>
    <w:tbl>
      <w:tblPr>
        <w:tblW w:type="auto" w:w="0"/>
        <w:tblLook w:firstColumn="1" w:firstRow="1" w:lastColumn="0" w:lastRow="0" w:noHBand="0" w:noVBand="1" w:val="04A0"/>
      </w:tblPr>
      <w:tblGrid>
        <w:gridCol w:w="3009"/>
        <w:gridCol w:w="3009"/>
        <w:gridCol w:w="3009"/>
      </w:tblGrid>
      <w:tr>
        <w:tc>
          <w:tcPr>
            <w:tcW w:type="dxa" w:w="226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Tipo documento</w:t>
            </w:r>
          </w:p>
        </w:tc>
        <w:tc>
          <w:tcPr>
            <w:tcW w:type="dxa" w:w="3685"/>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Come si gestisce</w:t>
            </w:r>
          </w:p>
        </w:tc>
        <w:tc>
          <w:tcPr>
            <w:tcW w:type="dxa" w:w="3402"/>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Completamento</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Schede di caratterizzazione/omologa</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Una scheda per ogni combinazione CER × impianto destino × tipologia cliente. Censite a livello di prodotto e allegate automaticamente all'offerta</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Segnare come 'Ricevuta' nella checklist</w:t>
            </w:r>
          </w:p>
        </w:tc>
      </w:tr>
      <w:tr>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Condizioni generali di servizio</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Template PDF standard allegato automaticamente tramite configurazione della tipologia</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Segnare come 'Ricevuta e firmata' se richiede firma</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Informativa privacy</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Template PDF standard allegato automaticamente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Segnare come 'Ricevuta'</w:t>
            </w:r>
          </w:p>
        </w:tc>
      </w:tr>
      <w:tr>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Modulo dati fatturazione (SDI, PEC)</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Documento da allegare manualmente e inviare al cliente per compilazione</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Segnare come 'Ricevuto' quando il cliente restituisce il modulo compilato</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Documenti aggiuntivi</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Il backoffice può aggiungere manualmente altri documenti non previsti dal template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Segnare come 'Ricevuto' (e 'Firmato' se richiede firma)</w:t>
            </w:r>
          </w:p>
        </w:tc>
      </w:tr>
    </w:tbl>
    <w:p>
      <w:pPr>
        <w:spacing w:before="60" w:after="60"/>
      </w:pPr>
      <w:r>
        <w:rPr>
          <w:rFonts w:ascii="Arial" w:hAnsi="Arial"/>
          <w:i w:val="0"/>
          <w:color w:val="000000"/>
          <w:sz w:val="22"/>
        </w:rPr>
        <w:t>Tutti i documenti devono risultare completi prima che la lead possa avanzare ad 'Offerta accettata'. I documenti selezionati possono essere inviati al cliente tramite email direttamente da Odoo.</w:t>
      </w:r>
    </w:p>
    <w:p/>
    <w:p>
      <w:pPr>
        <w:pStyle w:val="Heading2"/>
        <w:jc w:val="left"/>
      </w:pPr>
      <w:r>
        <w:rPr>
          <w:rFonts w:ascii="Arial" w:hAnsi="Arial"/>
          <w:color w:val="3B9408"/>
          <w:sz w:val="26"/>
        </w:rPr>
        <w:t>4.10  Automazioni e notifiche</w:t>
      </w:r>
    </w:p>
    <w:tbl>
      <w:tblPr>
        <w:tblW w:type="auto" w:w="0"/>
        <w:tblLook w:firstColumn="1" w:firstRow="1" w:lastColumn="0" w:lastRow="0" w:noHBand="0" w:noVBand="1" w:val="04A0"/>
      </w:tblPr>
      <w:tblGrid>
        <w:gridCol w:w="3009"/>
        <w:gridCol w:w="3009"/>
        <w:gridCol w:w="3009"/>
      </w:tblGrid>
      <w:tr>
        <w:tc>
          <w:tcPr>
            <w:tcW w:type="dxa" w:w="311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Trigger</w:t>
            </w:r>
          </w:p>
        </w:tc>
        <w:tc>
          <w:tcPr>
            <w:tcW w:type="dxa" w:w="3685"/>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Azione automatica</w:t>
            </w:r>
          </w:p>
        </w:tc>
        <w:tc>
          <w:tcPr>
            <w:tcW w:type="dxa" w:w="2551"/>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Destinatario</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Lead avanza a 'Elaborazione proposta'</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Creazione automatica offerta in bozza collegata alla lead</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r>
      <w:tr>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Offerta inviata per firma (firma digitale)</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Lead avanza a 'Proposta inviata'; email firma inviata al cliente</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Cliente</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Cliente accetta / firma il contratto</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Offerta → Accettata; lead → 'Attesa documenti'; documenti generati; notifica al backoffice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Backoffice (Claudia) via email</w:t>
            </w:r>
          </w:p>
        </w:tc>
      </w:tr>
      <w:tr>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Cron giornaliero (ogni mattina)</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Email riepilogativa offerte in attesa di approvazione</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Approvatore (Andrea) via email</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Lead → 'Attesa documenti'</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Generazione automatica checklist documenti dai template tipologia</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r>
    </w:tbl>
    <w:p/>
    <w:p>
      <w:pPr>
        <w:pStyle w:val="Heading2"/>
        <w:jc w:val="left"/>
      </w:pPr>
      <w:r>
        <w:rPr>
          <w:rFonts w:ascii="Arial" w:hAnsi="Arial"/>
          <w:color w:val="3B9408"/>
          <w:sz w:val="26"/>
        </w:rPr>
        <w:t>4.11  Output documentale (stampe PDF)</w:t>
      </w:r>
    </w:p>
    <w:p>
      <w:pPr>
        <w:spacing w:before="60" w:after="60"/>
      </w:pPr>
      <w:r>
        <w:rPr>
          <w:rFonts w:ascii="Arial" w:hAnsi="Arial"/>
          <w:i w:val="0"/>
          <w:color w:val="000000"/>
          <w:sz w:val="22"/>
        </w:rPr>
        <w:t>Ogni tipologia di offerta ha il proprio template PDF generato automaticamente da Odoo. I documenti possono essere visualizzati in anteprima o inviati senza creare allegati nel chatter. È possibile caricare un PDF modificato manualmente che sovrascrive il PDF auto-generato (es. per offerte con condizioni speciali).</w:t>
      </w:r>
    </w:p>
    <w:p>
      <w:pPr>
        <w:pStyle w:val="ListBullet"/>
        <w:spacing w:before="20" w:after="20"/>
      </w:pPr>
      <w:r>
        <w:rPr>
          <w:rFonts w:ascii="Arial" w:hAnsi="Arial"/>
          <w:sz w:val="22"/>
        </w:rPr>
        <w:t>Offerta Rifiuti Speciali: documento multi-pagina con righe CER, impianti, prezzi, servizi, condizioni</w:t>
      </w:r>
    </w:p>
    <w:p>
      <w:pPr>
        <w:pStyle w:val="ListBullet"/>
        <w:spacing w:before="20" w:after="20"/>
      </w:pPr>
      <w:r>
        <w:rPr>
          <w:rFonts w:ascii="Arial" w:hAnsi="Arial"/>
          <w:sz w:val="22"/>
        </w:rPr>
        <w:t>Offerta TMB: documento breve con dati trattamento, trasporto, analisi omologa</w:t>
      </w:r>
    </w:p>
    <w:p>
      <w:pPr>
        <w:pStyle w:val="ListBullet"/>
        <w:spacing w:before="20" w:after="20"/>
      </w:pPr>
      <w:r>
        <w:rPr>
          <w:rFonts w:ascii="Arial" w:hAnsi="Arial"/>
          <w:sz w:val="22"/>
        </w:rPr>
        <w:t>Contratto Discarica: contratto formale 17–20 pagine con articoli, allegati (condizioni, elenco produttori)</w:t>
      </w:r>
    </w:p>
    <w:p>
      <w:pPr>
        <w:pStyle w:val="ListBullet"/>
        <w:spacing w:before="20" w:after="20"/>
      </w:pPr>
      <w:r>
        <w:rPr>
          <w:rFonts w:ascii="Arial" w:hAnsi="Arial"/>
          <w:sz w:val="22"/>
        </w:rPr>
        <w:t>PDF completo con allegati: concatenazione automatica offerta + documenti allegati, generato on-demand</w:t>
      </w:r>
    </w:p>
    <w:p>
      <w:pPr>
        <w:spacing w:before="60" w:after="60"/>
      </w:pPr>
      <w:r>
        <w:rPr>
          <w:rFonts w:ascii="Arial" w:hAnsi="Arial"/>
          <w:i w:val="0"/>
          <w:color w:val="000000"/>
          <w:sz w:val="22"/>
        </w:rPr>
        <w:t>Nota: stile grafico dei PDF coerente con l'identità di TEA A&amp;E (font, colori, forma di cortesia Egregio/Spett. in base al tipo di cliente).</w:t>
      </w:r>
    </w:p>
    <w:p>
      <w:r>
        <w:br w:type="page"/>
      </w:r>
    </w:p>
    <w:p>
      <w:pPr>
        <w:pStyle w:val="Heading1"/>
        <w:jc w:val="left"/>
      </w:pPr>
      <w:r>
        <w:rPr>
          <w:rFonts w:ascii="Arial" w:hAnsi="Arial"/>
          <w:color w:val="2D7206"/>
          <w:sz w:val="32"/>
        </w:rPr>
        <w:t>5. Gap Analysis</w:t>
      </w:r>
    </w:p>
    <w:p>
      <w:pPr>
        <w:spacing w:before="60" w:after="60"/>
      </w:pPr>
      <w:r>
        <w:rPr>
          <w:rFonts w:ascii="Arial" w:hAnsi="Arial"/>
          <w:i w:val="0"/>
          <w:color w:val="000000"/>
          <w:sz w:val="22"/>
        </w:rPr>
        <w:t>Legenda tipo — Standard: coperto nativamente da Odoo Enterprise; Config: risolvibile con configurazione, nessuno sviluppo; Custom: richiede sviluppo o personalizzazione; Out: fuori scope.</w:t>
        <w:br/>
        <w:t>Legenda effort — Basso: &lt; 0,5 gg; Medio: 0,5–2 gg; Alto: &gt; 2 gg.</w:t>
      </w:r>
    </w:p>
    <w:tbl>
      <w:tblPr>
        <w:tblW w:type="auto" w:w="0"/>
        <w:tblLook w:firstColumn="1" w:firstRow="1" w:lastColumn="0" w:lastRow="0" w:noHBand="0" w:noVBand="1" w:val="04A0"/>
      </w:tblPr>
      <w:tblGrid>
        <w:gridCol w:w="1504"/>
        <w:gridCol w:w="1504"/>
        <w:gridCol w:w="1504"/>
        <w:gridCol w:w="1504"/>
        <w:gridCol w:w="1504"/>
        <w:gridCol w:w="1504"/>
      </w:tblGrid>
      <w:tr>
        <w:tc>
          <w:tcPr>
            <w:tcW w:type="dxa" w:w="680"/>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ID</w:t>
            </w:r>
          </w:p>
        </w:tc>
        <w:tc>
          <w:tcPr>
            <w:tcW w:type="dxa" w:w="1134"/>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Area</w:t>
            </w:r>
          </w:p>
        </w:tc>
        <w:tc>
          <w:tcPr>
            <w:tcW w:type="dxa" w:w="226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AS-IS</w:t>
            </w:r>
          </w:p>
        </w:tc>
        <w:tc>
          <w:tcPr>
            <w:tcW w:type="dxa" w:w="226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TO-BE</w:t>
            </w:r>
          </w:p>
        </w:tc>
        <w:tc>
          <w:tcPr>
            <w:tcW w:type="dxa" w:w="850"/>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Tipo</w:t>
            </w:r>
          </w:p>
        </w:tc>
        <w:tc>
          <w:tcPr>
            <w:tcW w:type="dxa" w:w="850"/>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Effort</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GAP-001</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CRM</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Excel per tracciare opportunità e backlog del team</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Pipeline CRM con stage personalizzati e dashboard centralizzata</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Standard</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Basso</w:t>
            </w:r>
          </w:p>
        </w:tc>
      </w:tr>
      <w:tr>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GAP-002</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CRM</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Casella email generica non strutturata per le richieste</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Alias email team → creazione lead; chatter per-lead con storico comunicazioni</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Config</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Basso</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GAP-003</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CRM</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Nessun flusso di approvazione strutturato (passaggio manuale a carta/email)</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Workflow approvazione interno con stati dedicati e notifiche email</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Custom</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Medio</w:t>
            </w:r>
          </w:p>
        </w:tc>
      </w:tr>
      <w:tr>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GAP-004</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CRM</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Nessun follow-up strutturato per offerte senza risposta</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Attività automatiche/manuali di follow-up; cron reminder per approvatore</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Config</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Basso</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GAP-005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Offerte</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Stampa unione Word/Excel per generare i documenti delle tre tipologie</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Template PDF auto-generati da Odoo per RS, TMB, Discarica con campi dinamici</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Custom</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Alto</w:t>
            </w:r>
          </w:p>
        </w:tc>
      </w:tr>
      <w:tr>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GAP-006</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Offerte</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Prezzi inseriti manualmente consultando file Excel listino</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Listino fornitore integrato: selezione CER + impianto → prezzo automatico + markup</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Custom</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Alto</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GAP-007</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Offerte</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Nessun versionamento delle offerte</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Più versioni offerta sulla stessa lead con storico completo nel chatter</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Standard</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Basso</w:t>
            </w:r>
          </w:p>
        </w:tc>
      </w:tr>
      <w:tr>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GAP-008</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Offerte</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Numero protocollo assegnato manualmente dal backoffice</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Generazione automatica del numero di protocollo (per Rifiuti Speciali)</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Custom</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Basso</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GAP-009</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Anagrafica</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Anagrafica CER su file Excel (115 codici con sotto-tipi e stati fisici)</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Anagrafica CER integrata in Odoo: tabella codici + prodotti per combinazione</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Custom</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Alto</w:t>
            </w:r>
          </w:p>
        </w:tc>
      </w:tr>
      <w:tr>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GAP-010</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Anagrafica</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Listino impianti su Excel (63 impianti con prezzi, minimi, HP per rifiuto)</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Impianti di trattamento come partner Odoo; listino fornitore esteso con campi rifiuti</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Custom</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Alto</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GAP-011</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Firma</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Contratto stampato, firmato a mano, scansionato e inviato via email</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Firma digitale via Odoo Sign: invio automatico, firma su portale, audit trail</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Standard</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Medio</w:t>
            </w:r>
          </w:p>
        </w:tc>
      </w:tr>
      <w:tr>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GAP-012</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Firma</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Nessun fallback strutturato per clienti che non usano la firma digitale</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Upload PDF firmato manualmente con avanzamento manuale dello stato</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Custom</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Basso</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GAP-013</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Documenti</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Allegati (privacy, condizioni, schede caratterizzazione) gestiti manualmente su Drive</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Checklist documenti generata automaticamente post-accettazione; schede collegate ai prodotti</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Custom</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Medio</w:t>
            </w:r>
          </w:p>
        </w:tc>
      </w:tr>
      <w:tr>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GAP-014</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CRM</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Filtri per zona/provincia non disponibili nel CRM standard</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Filtri aggiuntivi per ricerca lead per zona territoriale (da sviluppare)</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Custom</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Basso</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GAP-015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Offerte</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Calcolo automatico delle fasce chilometriche non gestito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Fuori scope Fase 1 — valutare integrazione mappe in fase successiva</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Out</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r>
      <w:tr>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GAP-016</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Integrazione</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Nessuna integrazione con VMS per dati operativi post-accettazione</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Fuori scope Fase 1 — gestione manuale tramite export</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Out</w:t>
            </w:r>
          </w:p>
        </w:tc>
        <w:tc>
          <w:tcPr>
            <w:tcW w:type="dxa" w:w="1504"/>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GAP-017</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Contabilità</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Fatturazione mensile a consuntivo gestita dall'ufficio FA</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Fuori scope Fase 1</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Out</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r>
    </w:tbl>
    <w:p>
      <w:r>
        <w:br w:type="page"/>
      </w:r>
    </w:p>
    <w:p>
      <w:pPr>
        <w:pStyle w:val="Heading1"/>
        <w:jc w:val="left"/>
      </w:pPr>
      <w:r>
        <w:rPr>
          <w:rFonts w:ascii="Arial" w:hAnsi="Arial"/>
          <w:color w:val="2D7206"/>
          <w:sz w:val="32"/>
        </w:rPr>
        <w:t>6. Configurazioni di Sistema</w:t>
      </w:r>
    </w:p>
    <w:p>
      <w:pPr>
        <w:spacing w:before="60" w:after="60"/>
      </w:pPr>
      <w:r>
        <w:rPr>
          <w:rFonts w:ascii="Arial" w:hAnsi="Arial"/>
          <w:i w:val="0"/>
          <w:color w:val="000000"/>
          <w:sz w:val="22"/>
        </w:rPr>
        <w:t>Configurazioni da eseguire in Odoo post-installazione del modulo.</w:t>
      </w:r>
    </w:p>
    <w:p>
      <w:pPr>
        <w:pStyle w:val="Heading2"/>
        <w:jc w:val="left"/>
      </w:pPr>
      <w:r>
        <w:rPr>
          <w:rFonts w:ascii="Arial" w:hAnsi="Arial"/>
          <w:color w:val="3B9408"/>
          <w:sz w:val="26"/>
        </w:rPr>
        <w:t>6.1  CRM e Pipeline</w:t>
      </w:r>
    </w:p>
    <w:tbl>
      <w:tblPr>
        <w:tblW w:type="auto" w:w="0"/>
        <w:tblLook w:firstColumn="1" w:firstRow="1" w:lastColumn="0" w:lastRow="0" w:noHBand="0" w:noVBand="1" w:val="04A0"/>
      </w:tblPr>
      <w:tblGrid>
        <w:gridCol w:w="2256"/>
        <w:gridCol w:w="2256"/>
        <w:gridCol w:w="2256"/>
        <w:gridCol w:w="2256"/>
      </w:tblGrid>
      <w:tr>
        <w:tc>
          <w:tcPr>
            <w:tcW w:type="dxa" w:w="2835"/>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Menu path</w:t>
            </w:r>
          </w:p>
        </w:tc>
        <w:tc>
          <w:tcPr>
            <w:tcW w:type="dxa" w:w="226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Parametro / Voce</w:t>
            </w:r>
          </w:p>
        </w:tc>
        <w:tc>
          <w:tcPr>
            <w:tcW w:type="dxa" w:w="226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Valore / Logica</w:t>
            </w:r>
          </w:p>
        </w:tc>
        <w:tc>
          <w:tcPr>
            <w:tcW w:type="dxa" w:w="1984"/>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Dipendenze</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CRM &gt; Configurazione &gt; Stage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Stage pipeline commerciale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6 stage custom: Nuovo, Preso in carico, Elaborazione proposta, Proposta inviata, Attesa documenti, Offerta accettata</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r>
      <w:tr>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CRM &gt; Configurazione &gt; Team di vendita</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Team commerciale e alias email</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Alias dedicato per ricezione richieste offerta (da definire con TEA A&amp;E)</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r>
    </w:tbl>
    <w:p/>
    <w:p>
      <w:pPr>
        <w:pStyle w:val="Heading2"/>
        <w:jc w:val="left"/>
      </w:pPr>
      <w:r>
        <w:rPr>
          <w:rFonts w:ascii="Arial" w:hAnsi="Arial"/>
          <w:color w:val="3B9408"/>
          <w:sz w:val="26"/>
        </w:rPr>
        <w:t>6.2  Modulo Gestione Offerte/Contratti</w:t>
      </w:r>
    </w:p>
    <w:tbl>
      <w:tblPr>
        <w:tblW w:type="auto" w:w="0"/>
        <w:tblLook w:firstColumn="1" w:firstRow="1" w:lastColumn="0" w:lastRow="0" w:noHBand="0" w:noVBand="1" w:val="04A0"/>
      </w:tblPr>
      <w:tblGrid>
        <w:gridCol w:w="2256"/>
        <w:gridCol w:w="2256"/>
        <w:gridCol w:w="2256"/>
        <w:gridCol w:w="2256"/>
      </w:tblGrid>
      <w:tr>
        <w:tc>
          <w:tcPr>
            <w:tcW w:type="dxa" w:w="2835"/>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Menu path</w:t>
            </w:r>
          </w:p>
        </w:tc>
        <w:tc>
          <w:tcPr>
            <w:tcW w:type="dxa" w:w="226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Parametro / Voce</w:t>
            </w:r>
          </w:p>
        </w:tc>
        <w:tc>
          <w:tcPr>
            <w:tcW w:type="dxa" w:w="226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Valore / Logica</w:t>
            </w:r>
          </w:p>
        </w:tc>
        <w:tc>
          <w:tcPr>
            <w:tcW w:type="dxa" w:w="1984"/>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Dipendenze</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Impostazioni &gt; Aziende &gt; [Azienda]</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Firma offerte aziendale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Immagine della firma del responsabile — obbligatoria prima del primo invio</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r>
      <w:tr>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Impostazioni &gt; Aziende &gt; [Azienda]</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Markup standard di rivendita</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20% (valore di default; modificabile per singola offerta)</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Gestione Rifiuti &gt; Configurazione &gt; Tipologie Offerta</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Tipi offerta attivi</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Rifiuti Speciali, TMB, Discarica — ciascuno con proprio template PDF</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r>
      <w:tr>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Gestione Rifiuti &gt; Configurazione &gt; Tipologie Offerta</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Template documenti per tipologia</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Documenti standard (privacy, condizioni generali) allegati a ciascuna tipologia</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Da configurare con i PDF forniti da TEA A&amp;E — vedi OP-004</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Gestione Rifiuti &gt; Configurazione &gt; Validità Offerta</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Periodi di validità</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Es. 30 giorni, 60 giorni, 1 anno — configurabili liberamente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r>
      <w:tr>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Impostazioni &gt; Azioni pianificate</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Reminder offerte da approvare</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Attivare manualmente; esecuzione giornaliera ogni mattina</w:t>
            </w:r>
          </w:p>
        </w:tc>
        <w:tc>
          <w:tcPr>
            <w:tcW w:type="dxa" w:w="2256"/>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Almeno 1 utente nel gruppo Approvatore</w:t>
            </w:r>
          </w:p>
        </w:tc>
      </w:tr>
    </w:tbl>
    <w:p/>
    <w:p>
      <w:pPr>
        <w:pStyle w:val="Heading2"/>
        <w:jc w:val="left"/>
      </w:pPr>
      <w:r>
        <w:rPr>
          <w:rFonts w:ascii="Arial" w:hAnsi="Arial"/>
          <w:color w:val="3B9408"/>
          <w:sz w:val="26"/>
        </w:rPr>
        <w:t>6.3  Sicurezza e profili utente</w:t>
      </w:r>
    </w:p>
    <w:tbl>
      <w:tblPr>
        <w:tblW w:type="auto" w:w="0"/>
        <w:tblLook w:firstColumn="1" w:firstRow="1" w:lastColumn="0" w:lastRow="0" w:noHBand="0" w:noVBand="1" w:val="04A0"/>
      </w:tblPr>
      <w:tblGrid>
        <w:gridCol w:w="3009"/>
        <w:gridCol w:w="3009"/>
        <w:gridCol w:w="3009"/>
      </w:tblGrid>
      <w:tr>
        <w:tc>
          <w:tcPr>
            <w:tcW w:type="dxa" w:w="2268"/>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Profilo</w:t>
            </w:r>
          </w:p>
        </w:tc>
        <w:tc>
          <w:tcPr>
            <w:tcW w:type="dxa" w:w="3402"/>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Gruppi / Accessi</w:t>
            </w:r>
          </w:p>
        </w:tc>
        <w:tc>
          <w:tcPr>
            <w:tcW w:type="dxa" w:w="3685"/>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Note</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Commerciale TEA</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CRM, Offerte, Anagrafica CER, Listino Prezzi — lettura e scrittura</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Può creare, modificare, inviare in approvazione; non può approvare</w:t>
            </w:r>
          </w:p>
        </w:tc>
      </w:tr>
      <w:tr>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Backoffice TEA</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Stessi accessi del Commerciale</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Notifica email al completamento firma; gestisce documenti cliente</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Approvatore TEA</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Solo menu Offerte in Gestione Rifiuti; sola lettura su CRM e Anagrafica</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Approva o rifiuta offerte; riceve reminder giornaliero</w:t>
            </w:r>
          </w:p>
        </w:tc>
      </w:tr>
      <w:tr>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Amministratore</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Accesso completo incluso menu Configurazione</w:t>
            </w:r>
          </w:p>
        </w:tc>
        <w:tc>
          <w:tcPr>
            <w:tcW w:type="dxa" w:w="3009"/>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Configurazione tipologie, parametri aziendali, listini, template</w:t>
            </w:r>
          </w:p>
        </w:tc>
      </w:tr>
    </w:tbl>
    <w:p>
      <w:r>
        <w:br w:type="page"/>
      </w:r>
    </w:p>
    <w:p>
      <w:pPr>
        <w:pStyle w:val="Heading1"/>
        <w:jc w:val="left"/>
      </w:pPr>
      <w:r>
        <w:rPr>
          <w:rFonts w:ascii="Arial" w:hAnsi="Arial"/>
          <w:color w:val="2D7206"/>
          <w:sz w:val="32"/>
        </w:rPr>
        <w:t>7. Open Points</w:t>
      </w:r>
    </w:p>
    <w:tbl>
      <w:tblPr>
        <w:tblW w:type="auto" w:w="0"/>
        <w:tblLook w:firstColumn="1" w:firstRow="1" w:lastColumn="0" w:lastRow="0" w:noHBand="0" w:noVBand="1" w:val="04A0"/>
      </w:tblPr>
      <w:tblGrid>
        <w:gridCol w:w="1805"/>
        <w:gridCol w:w="1805"/>
        <w:gridCol w:w="1805"/>
        <w:gridCol w:w="1805"/>
        <w:gridCol w:w="1805"/>
      </w:tblGrid>
      <w:tr>
        <w:tc>
          <w:tcPr>
            <w:tcW w:type="dxa" w:w="850"/>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ID</w:t>
            </w:r>
          </w:p>
        </w:tc>
        <w:tc>
          <w:tcPr>
            <w:tcW w:type="dxa" w:w="4535"/>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Descrizione</w:t>
            </w:r>
          </w:p>
        </w:tc>
        <w:tc>
          <w:tcPr>
            <w:tcW w:type="dxa" w:w="1701"/>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Responsabile</w:t>
            </w:r>
          </w:p>
        </w:tc>
        <w:tc>
          <w:tcPr>
            <w:tcW w:type="dxa" w:w="1417"/>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Data limite</w:t>
            </w:r>
          </w:p>
        </w:tc>
        <w:tc>
          <w:tcPr>
            <w:tcW w:type="dxa" w:w="1134"/>
            <w:shd w:val="clear" w:color="auto" w:fill="3B9408"/>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i w:val="0"/>
                <w:color w:val="FFFFFF"/>
                <w:sz w:val="20"/>
              </w:rPr>
              <w:t>Stato</w:t>
            </w:r>
          </w:p>
        </w:tc>
      </w:tr>
      <w:tr>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OP-001</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Confermare URL ambienti Odoo.sh (Produzione e Staging)</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TEA — Luisa Fiorini</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Aperto</w:t>
            </w:r>
          </w:p>
        </w:tc>
      </w:tr>
      <w:tr>
        <w:tc>
          <w:tcPr>
            <w:tcW w:type="dxa" w:w="1805"/>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OP-002</w:t>
            </w:r>
          </w:p>
        </w:tc>
        <w:tc>
          <w:tcPr>
            <w:tcW w:type="dxa" w:w="1805"/>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Definire i filtri di ricerca lead per zona/provincia da implementare (non previsti nel CRM standard)</w:t>
            </w:r>
          </w:p>
        </w:tc>
        <w:tc>
          <w:tcPr>
            <w:tcW w:type="dxa" w:w="1805"/>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Avvale — Alessandro C.</w:t>
            </w:r>
          </w:p>
        </w:tc>
        <w:tc>
          <w:tcPr>
            <w:tcW w:type="dxa" w:w="1805"/>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c>
          <w:tcPr>
            <w:tcW w:type="dxa" w:w="1805"/>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Aperto</w:t>
            </w:r>
          </w:p>
        </w:tc>
      </w:tr>
      <w:tr>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OP-003</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Valutare l'approccio per l'automazione del Contratto Discarica (17–20 pagine): analizzare la complessità del file di stampa unione esistente per stimare l'effort</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Avvale / TEA</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Aperto</w:t>
            </w:r>
          </w:p>
        </w:tc>
      </w:tr>
      <w:tr>
        <w:tc>
          <w:tcPr>
            <w:tcW w:type="dxa" w:w="1805"/>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OP-004</w:t>
            </w:r>
          </w:p>
        </w:tc>
        <w:tc>
          <w:tcPr>
            <w:tcW w:type="dxa" w:w="1805"/>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Raccogliere i PDF dei documenti standard da allegare per ciascuna tipologia (condizioni generali, informativa privacy, modulo dati fatturazione)</w:t>
            </w:r>
          </w:p>
        </w:tc>
        <w:tc>
          <w:tcPr>
            <w:tcW w:type="dxa" w:w="1805"/>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TEA — Noemi Menegazzo</w:t>
            </w:r>
          </w:p>
        </w:tc>
        <w:tc>
          <w:tcPr>
            <w:tcW w:type="dxa" w:w="1805"/>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c>
          <w:tcPr>
            <w:tcW w:type="dxa" w:w="1805"/>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Aperto</w:t>
            </w:r>
          </w:p>
        </w:tc>
      </w:tr>
      <w:tr>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OP-005</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Confermare se il nuovo commerciale esterno (aprile 2026) necessita di utenza Odoo oppure se le lead vengono gestite dall'ufficio per suo conto</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TEA — Noemi Menegazzo</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Aperto</w:t>
            </w:r>
          </w:p>
        </w:tc>
      </w:tr>
      <w:tr>
        <w:tc>
          <w:tcPr>
            <w:tcW w:type="dxa" w:w="1805"/>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OP-006</w:t>
            </w:r>
          </w:p>
        </w:tc>
        <w:tc>
          <w:tcPr>
            <w:tcW w:type="dxa" w:w="1805"/>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Verificare la fattibilità e il perimetro dell'integrazione automatica con il gestionale VMS per i dati operativi post-accettazione</w:t>
            </w:r>
          </w:p>
        </w:tc>
        <w:tc>
          <w:tcPr>
            <w:tcW w:type="dxa" w:w="1805"/>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Avvale / TEA</w:t>
            </w:r>
          </w:p>
        </w:tc>
        <w:tc>
          <w:tcPr>
            <w:tcW w:type="dxa" w:w="1805"/>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Fase 2</w:t>
            </w:r>
          </w:p>
        </w:tc>
        <w:tc>
          <w:tcPr>
            <w:tcW w:type="dxa" w:w="1805"/>
            <w:shd w:val="clear" w:color="auto" w:fill="D9EAD3"/>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Rinviato</w:t>
            </w:r>
          </w:p>
        </w:tc>
      </w:tr>
      <w:tr>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OP-007</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Valutare l'implementazione del calcolo automatico delle fasce chilometriche (integrazione mappe) per il trasporto</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Avvale / TEA</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Fase 2</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spacing w:before="40" w:after="40"/>
              <w:jc w:val="left"/>
            </w:pPr>
            <w:r>
              <w:rPr>
                <w:rFonts w:ascii="Arial" w:hAnsi="Arial"/>
                <w:b w:val="0"/>
                <w:i w:val="0"/>
                <w:color w:val="000000"/>
                <w:sz w:val="20"/>
              </w:rPr>
              <w:t>Rinviato</w:t>
            </w:r>
          </w:p>
        </w:tc>
      </w:tr>
    </w:tbl>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95959"/>
        <w:sz w:val="16"/>
      </w:rPr>
      <w:t>© Avvale  |  Avvale S.p.A. – Via Melzi D'Eril 34, 20154 Milano (MI)  |  T +39 02 87311  –  www.avvale.com  –  C.F. e P.I. IT04113150967</w:t>
    </w:r>
  </w:p>
  <w:p>
    <w:pPr>
      <w:jc w:val="center"/>
    </w:pPr>
    <w:r>
      <w:rPr>
        <w:rFonts w:ascii="Arial" w:hAnsi="Arial"/>
        <w:sz w:val="16"/>
      </w:rPr>
      <w:t xml:space="preserve">Pagina </w:t>
    </w:r>
    <w:fldSimple w:instr="PAGE">
      <w:r/>
    </w:fldSimple>
    <w:r>
      <w:rPr>
        <w:rFonts w:ascii="Arial" w:hAnsi="Arial"/>
        <w:sz w:val="16"/>
      </w:rPr>
      <w:t xml:space="preserve"> di </w:t>
    </w:r>
    <w:fldSimple w:instr="NUMPAGES">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3B9408"/>
      </w:pBdr>
    </w:pPr>
    <w:r>
      <w:rPr>
        <w:rFonts w:ascii="Arial" w:hAnsi="Arial"/>
        <w:color w:val="2D7206"/>
        <w:sz w:val="18"/>
      </w:rPr>
      <w:t>TEA A&amp;E – CRM Contratti Rifiuti – AF  –  Rev. 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