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0"/>
        <w:jc w:val="left"/>
      </w:pPr>
      <w:r>
        <w:drawing>
          <wp:inline xmlns:a="http://schemas.openxmlformats.org/drawingml/2006/main" xmlns:pic="http://schemas.openxmlformats.org/drawingml/2006/picture">
            <wp:extent cx="2160000" cy="6208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20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chivo" w:hAnsi="Archivo" w:cs="Archivo"/>
          <w:b/>
          <w:color w:val="248B7E"/>
          <w:sz w:val="22"/>
        </w:rPr>
        <w:t>ANALISI FUNZIONALE</w:t>
      </w:r>
    </w:p>
    <w:p>
      <w:pPr>
        <w:spacing w:after="120"/>
      </w:pPr>
      <w:r>
        <w:rPr>
          <w:rFonts w:ascii="Archivo" w:hAnsi="Archivo" w:cs="Archivo"/>
          <w:color w:val="6E6566"/>
          <w:sz w:val="28"/>
        </w:rPr>
        <w:t>TEA Ambiente e Ecologia</w:t>
      </w:r>
    </w:p>
    <w:p>
      <w:pPr>
        <w:spacing w:after="200"/>
      </w:pPr>
      <w:r>
        <w:rPr>
          <w:rFonts w:ascii="Archivo" w:hAnsi="Archivo" w:cs="Archivo"/>
          <w:b/>
          <w:color w:val="231C1D"/>
          <w:sz w:val="64"/>
        </w:rPr>
        <w:t>CRM – Gestione Offerte</w:t>
        <w:br/>
        <w:t>e Contratti Rifiuti</w:t>
      </w:r>
    </w:p>
    <w:p>
      <w:pPr>
        <w:spacing w:after="2000"/>
      </w:pPr>
      <w:r>
        <w:rPr>
          <w:rFonts w:ascii="Archivo" w:hAnsi="Archivo" w:cs="Archivo"/>
          <w:color w:val="248B7E"/>
          <w:sz w:val="32"/>
        </w:rPr>
        <w:t>Odoo 19 Enterprise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FFFFFF"/>
          </w:tcPr>
          <w:p>
            <w:r>
              <w:rPr>
                <w:rFonts w:ascii="Archivo" w:hAnsi="Archivo" w:cs="Archivo"/>
                <w:b/>
                <w:color w:val="248B7E"/>
                <w:sz w:val="20"/>
              </w:rPr>
              <w:t>Revisione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chivo" w:hAnsi="Archivo" w:cs="Archivo"/>
                <w:color w:val="231C1D"/>
                <w:sz w:val="20"/>
              </w:rPr>
              <w:t>02.0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chivo" w:hAnsi="Archivo" w:cs="Archivo"/>
                <w:b/>
                <w:color w:val="248B7E"/>
                <w:sz w:val="20"/>
              </w:rPr>
              <w:t>Data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chivo" w:hAnsi="Archivo" w:cs="Archivo"/>
                <w:color w:val="231C1D"/>
                <w:sz w:val="20"/>
              </w:rPr>
              <w:t>30/06/2026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chivo" w:hAnsi="Archivo" w:cs="Archivo"/>
                <w:b/>
                <w:color w:val="248B7E"/>
                <w:sz w:val="20"/>
              </w:rPr>
              <w:t>Classificazione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chivo" w:hAnsi="Archivo" w:cs="Archivo"/>
                <w:color w:val="231C1D"/>
                <w:sz w:val="20"/>
              </w:rPr>
              <w:t>Confidential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chivo" w:hAnsi="Archivo" w:cs="Archivo"/>
                <w:b/>
                <w:color w:val="248B7E"/>
                <w:sz w:val="20"/>
              </w:rPr>
              <w:t>Responsabile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chivo" w:hAnsi="Archivo" w:cs="Archivo"/>
                <w:color w:val="231C1D"/>
                <w:sz w:val="20"/>
              </w:rPr>
              <w:t>Alessandro Caccialanza — Avvale S.p.A.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chivo" w:hAnsi="Archivo" w:cs="Archivo"/>
                <w:b/>
                <w:color w:val="248B7E"/>
                <w:sz w:val="20"/>
              </w:rPr>
              <w:t>Consulente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chivo" w:hAnsi="Archivo" w:cs="Archivo"/>
                <w:color w:val="231C1D"/>
                <w:sz w:val="20"/>
              </w:rPr>
              <w:t>Mattia Ferravante — Avvale S.p.A.</w:t>
            </w:r>
          </w:p>
        </w:tc>
      </w:tr>
    </w:tbl>
    <w:p>
      <w:pPr>
        <w:sectPr>
          <w:headerReference w:type="default" r:id="rId10"/>
          <w:footerReference w:type="default" r:id="rId11"/>
          <w:pgSz w:w="11906" w:h="16838"/>
          <w:pgMar w:top="1417" w:right="1417" w:bottom="1417" w:left="1417" w:header="709" w:footer="709"/>
        </w:sectPr>
      </w:pPr>
    </w:p>
    <w:p>
      <w:pPr>
        <w:keepNext/>
        <w:spacing w:before="400" w:after="120"/>
      </w:pPr>
      <w:r>
        <w:rPr>
          <w:rFonts w:ascii="Archivo" w:hAnsi="Archivo" w:cs="Archivo"/>
          <w:b/>
          <w:i w:val="0"/>
          <w:color w:val="248B7E"/>
          <w:sz w:val="40"/>
        </w:rPr>
        <w:t>Registro Versioni del Documento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Rev</w:t>
            </w:r>
          </w:p>
        </w:tc>
        <w:tc>
          <w:tcPr>
            <w:tcW w:type="dxa" w:w="6520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Descrizione</w:t>
            </w:r>
          </w:p>
        </w:tc>
        <w:tc>
          <w:tcPr>
            <w:tcW w:type="dxa" w:w="1417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c>
          <w:tcPr>
            <w:tcW w:type="dxa" w:w="1134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00.1</w:t>
            </w:r>
          </w:p>
        </w:tc>
        <w:tc>
          <w:tcPr>
            <w:tcW w:type="dxa" w:w="652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Prima bozza — workshop di analisi AS-IS e raccolta requisiti</w:t>
            </w:r>
          </w:p>
        </w:tc>
        <w:tc>
          <w:tcPr>
            <w:tcW w:type="dxa" w:w="141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16/03/2026</w:t>
            </w:r>
          </w:p>
        </w:tc>
      </w:tr>
      <w:tr>
        <w:tc>
          <w:tcPr>
            <w:tcW w:type="dxa" w:w="1134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01.0</w:t>
            </w:r>
          </w:p>
        </w:tc>
        <w:tc>
          <w:tcPr>
            <w:tcW w:type="dxa" w:w="6520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Prima versione ufficiale post-analisi</w:t>
            </w:r>
          </w:p>
        </w:tc>
        <w:tc>
          <w:tcPr>
            <w:tcW w:type="dxa" w:w="1417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15/05/2026</w:t>
            </w:r>
          </w:p>
        </w:tc>
      </w:tr>
      <w:tr>
        <w:tc>
          <w:tcPr>
            <w:tcW w:type="dxa" w:w="1134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02.0</w:t>
            </w:r>
          </w:p>
        </w:tc>
        <w:tc>
          <w:tcPr>
            <w:tcW w:type="dxa" w:w="652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Aggiornamento a valle delle sessioni di sviluppo e preview con il cliente</w:t>
            </w:r>
          </w:p>
        </w:tc>
        <w:tc>
          <w:tcPr>
            <w:tcW w:type="dxa" w:w="141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20/05/2026</w:t>
            </w:r>
          </w:p>
        </w:tc>
      </w:tr>
    </w:tbl>
    <w:p/>
    <w:p>
      <w:r>
        <w:br w:type="page"/>
      </w:r>
    </w:p>
    <w:p>
      <w:pPr>
        <w:keepNext/>
        <w:spacing w:before="400" w:after="120"/>
      </w:pPr>
      <w:r>
        <w:rPr>
          <w:rFonts w:ascii="Archivo" w:hAnsi="Archivo" w:cs="Archivo"/>
          <w:b/>
          <w:i w:val="0"/>
          <w:color w:val="248B7E"/>
          <w:sz w:val="40"/>
        </w:rPr>
        <w:t>Indice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Archivo" w:hAnsi="Archivo" w:cs="Archivo"/>
          <w:i/>
          <w:color w:val="6E6566"/>
          <w:sz w:val="18"/>
        </w:rPr>
        <w:t>[ Aggiornare l'indice in Word: click destro → Aggiorna campo → Aggiorna intero indice ]</w:t>
      </w:r>
    </w:p>
    <w:p>
      <w:r>
        <w:br w:type="page"/>
      </w:r>
    </w:p>
    <w:p>
      <w:pPr>
        <w:spacing w:before="120" w:after="120"/>
        <w:ind w:left="283"/>
      </w:pPr>
      <w:r>
        <w:rPr>
          <w:rFonts w:ascii="Archivo" w:hAnsi="Archivo" w:cs="Archivo"/>
          <w:b w:val="0"/>
          <w:i/>
          <w:color w:val="231C1D"/>
          <w:sz w:val="22"/>
        </w:rPr>
        <w:t>Nota metodologica: Le informazioni contenute in questo documento sono basate sui workshop di analisi effettuati tra il 16/03/2026 e il 23/03/2026 e sulle sessioni di preview del sistema svolte a maggio 2026. Versione Odoo Enterprise: 19.0. Lingua sistema: Italiano.</w:t>
      </w:r>
    </w:p>
    <w:p>
      <w:pPr>
        <w:keepNext/>
        <w:spacing w:before="400" w:after="120"/>
      </w:pPr>
      <w:r>
        <w:rPr>
          <w:rFonts w:ascii="Archivo" w:hAnsi="Archivo" w:cs="Archivo"/>
          <w:b/>
          <w:i w:val="0"/>
          <w:color w:val="248B7E"/>
          <w:sz w:val="40"/>
        </w:rPr>
        <w:t>1. Processo AS-IS</w:t>
      </w:r>
    </w:p>
    <w:p>
      <w:pPr>
        <w:keepNext/>
        <w:spacing w:before="280" w:after="80"/>
      </w:pPr>
      <w:r>
        <w:rPr>
          <w:rFonts w:ascii="Archivo" w:hAnsi="Archivo" w:cs="Archivo"/>
          <w:b/>
          <w:i w:val="0"/>
          <w:color w:val="231C1D"/>
          <w:sz w:val="28"/>
        </w:rPr>
        <w:t>1.1 Contesto e Volumi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TEA Ambiente e Ecologia (TEA A&amp;E) è un'azienda specializzata nello smaltimento di rifiuti speciali che opera come intermediario: acquista il servizio di trattamento dagli impianti di destino e lo rivende ai clienti produttori di rifiuti applicando un ricarico commerciale.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I volumi operativi annuali sono i seguenti: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400–500 offerte per servizi Rifiuti Speciali (RS)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circa 100 contratti annuali per impianti di trattamento (TMB e Discarica)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circa 500 clienti attivi su un totale di ~5.000 anagrafiche nel gestionale interno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il 90% delle richieste proviene da clienti già acquisiti (inbound)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Il team commerciale coinvolto nel processo è composto da tre figure: Noemi Menegazzo (Commerciale, key user principale), Andrea Bassoli (Responsabile Commerciale, unico approvatore delle offerte), e Claudia Grazioli (Backoffice, operativa nella fase post-accettazione).</w:t>
      </w:r>
    </w:p>
    <w:p>
      <w:pPr>
        <w:keepNext/>
        <w:spacing w:before="280" w:after="80"/>
      </w:pPr>
      <w:r>
        <w:rPr>
          <w:rFonts w:ascii="Archivo" w:hAnsi="Archivo" w:cs="Archivo"/>
          <w:b/>
          <w:i w:val="0"/>
          <w:color w:val="231C1D"/>
          <w:sz w:val="28"/>
        </w:rPr>
        <w:t>1.2 Flusso Operativo Attuale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Il processo di gestione offerte e contratti viene svolto interamente con strumenti non integrati: Microsoft Word (con funzione di stampa unione) per la redazione dei documenti e Microsoft Excel per il tracciamento degli stati e il controllo dei listini.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Le fasi del processo attuale sono: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Ricezione della richiesta: il cliente contatta il commerciale via email o telefono.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Verifica del listino prezzi: il commerciale consulta il file Excel dei listini fornitori per recuperare il prezzo del servizio di trattamento per il codice CER indicato dal cliente.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Calcolo del prezzo cliente: applicazione manuale del ricarico (tipicamente tra il 15% e il 20%) sul costo fornitore.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Redazione dell'offerta: creazione del documento Word tramite stampa unione. Per le offerte Rifiuti Speciali viene compilata una tabella con le righe CER; per i contratti TMB e Discarica vengono compilati modelli prestabiliti.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Approvazione: il documento viene inviato ad Andrea Bassoli per revisione e apposizione del numero di protocollo, assegnato manualmente.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Invio al cliente: l'offerta approvata viene inviata via email in formato PDF. Per la firma si stampa il documento, si firma a mano e si rispedisce via email o posta.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Tracciamento: lo stato dell'offerta (inviata, accettata, rifiutata) viene aggiornato manualmente in un file Excel condiviso.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Post-accettazione: il personale di backoffice inserisce i dati nel gestionale interno (VMS) e coordina la logistica.</w:t>
      </w:r>
    </w:p>
    <w:p>
      <w:pPr>
        <w:keepNext/>
        <w:spacing w:before="280" w:after="80"/>
      </w:pPr>
      <w:r>
        <w:rPr>
          <w:rFonts w:ascii="Archivo" w:hAnsi="Archivo" w:cs="Archivo"/>
          <w:b/>
          <w:i w:val="0"/>
          <w:color w:val="231C1D"/>
          <w:sz w:val="28"/>
        </w:rPr>
        <w:t>1.3 Strumenti in Uso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Strumento</w:t>
            </w:r>
          </w:p>
        </w:tc>
        <w:tc>
          <w:tcPr>
            <w:tcW w:type="dxa" w:w="3118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Utilizzo</w:t>
            </w:r>
          </w:p>
        </w:tc>
        <w:tc>
          <w:tcPr>
            <w:tcW w:type="dxa" w:w="3969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Limite principale</w:t>
            </w:r>
          </w:p>
        </w:tc>
      </w:tr>
      <w:tr>
        <w:tc>
          <w:tcPr>
            <w:tcW w:type="dxa" w:w="1984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Microsoft Excel</w:t>
            </w:r>
          </w:p>
        </w:tc>
        <w:tc>
          <w:tcPr>
            <w:tcW w:type="dxa" w:w="311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Tracciamento offerte, listini fornitori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Nessuna tracciabilità delle versioni, aggiornamenti manuali soggetti ad errore</w:t>
            </w:r>
          </w:p>
        </w:tc>
      </w:tr>
      <w:tr>
        <w:tc>
          <w:tcPr>
            <w:tcW w:type="dxa" w:w="1984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Microsoft Word (stampa unione)</w:t>
            </w:r>
          </w:p>
        </w:tc>
        <w:tc>
          <w:tcPr>
            <w:tcW w:type="dxa" w:w="3118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Redazione documenti offerta e contratti</w:t>
            </w:r>
          </w:p>
        </w:tc>
        <w:tc>
          <w:tcPr>
            <w:tcW w:type="dxa" w:w="3969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Processo manuale lento, difficile gestione versioni multiple</w:t>
            </w:r>
          </w:p>
        </w:tc>
      </w:tr>
      <w:tr>
        <w:tc>
          <w:tcPr>
            <w:tcW w:type="dxa" w:w="1984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Email</w:t>
            </w:r>
          </w:p>
        </w:tc>
        <w:tc>
          <w:tcPr>
            <w:tcW w:type="dxa" w:w="311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Comunicazione con cliente e scambio documenti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Nessuna centralizzazione, allegati dispersi nelle caselle</w:t>
            </w:r>
          </w:p>
        </w:tc>
      </w:tr>
      <w:tr>
        <w:tc>
          <w:tcPr>
            <w:tcW w:type="dxa" w:w="1984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Gestionale VMS (interno)</w:t>
            </w:r>
          </w:p>
        </w:tc>
        <w:tc>
          <w:tcPr>
            <w:tcW w:type="dxa" w:w="3118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Anagrafiche clienti e inserimento post-contratto</w:t>
            </w:r>
          </w:p>
        </w:tc>
        <w:tc>
          <w:tcPr>
            <w:tcW w:type="dxa" w:w="3969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Fuori da Odoo, nessuna integrazione prevista in questa fase</w:t>
            </w:r>
          </w:p>
        </w:tc>
      </w:tr>
    </w:tbl>
    <w:p/>
    <w:p>
      <w:pPr>
        <w:keepNext/>
        <w:spacing w:before="280" w:after="80"/>
      </w:pPr>
      <w:r>
        <w:rPr>
          <w:rFonts w:ascii="Archivo" w:hAnsi="Archivo" w:cs="Archivo"/>
          <w:b/>
          <w:i w:val="0"/>
          <w:color w:val="231C1D"/>
          <w:sz w:val="28"/>
        </w:rPr>
        <w:t>1.4 Pain Point Rilevati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Nessuna visibilità centralizzata sul pipeline commerciale: non è possibile sapere in tempo reale quante offerte sono in lavorazione, quante in attesa di risposta, quante scadute.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Gestione listini manuale e soggetta ad errori: aggiornamento semestrale/annuale dei prezzi su Excel, rischio di utilizzare listini obsoleti.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Processo di approvazione informale: non esiste un meccanismo sistematico per notificare il responsabile delle offerte da approvare.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Firma contratti interamente cartacea: processo lento, necessità di stampa, scansione e restituzione fisica o via email.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Documenti dispersi: offerte, contratti e allegati (privacy, condizioni generali, schede di caratterizzazione) non sono collegati tra loro in un unico sistema.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Nessuna generazione automatica dei documenti necessari post-accettazione (es. raccolta allegati firmati dal cliente).</w:t>
      </w:r>
    </w:p>
    <w:p>
      <w:r>
        <w:br w:type="page"/>
      </w:r>
    </w:p>
    <w:p>
      <w:pPr>
        <w:keepNext/>
        <w:spacing w:before="400" w:after="120"/>
      </w:pPr>
      <w:r>
        <w:rPr>
          <w:rFonts w:ascii="Archivo" w:hAnsi="Archivo" w:cs="Archivo"/>
          <w:b/>
          <w:i w:val="0"/>
          <w:color w:val="248B7E"/>
          <w:sz w:val="40"/>
        </w:rPr>
        <w:t>2. Sistema TO-BE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La soluzione TO-BE prevede l'implementazione di Odoo 19 Enterprise per digitalizzare l'intero ciclo commerciale dalla ricezione della richiesta alla firma del contratto. Il sistema copre i seguenti processi: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Gestione del pipeline commerciale tramite CRM personalizzato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Redazione, approvazione e invio di tre tipologie di documenti: Offerta Rifiuti Speciali (RS), Offerta TMB, Contratto Discarica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Firma digitale integrata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Gestione anagrafica clienti con unità produttive multiple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Catalogo prodotti CER e listini fornitori strutturati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Automazioni e notifiche email</w:t>
      </w:r>
    </w:p>
    <w:p>
      <w:pPr>
        <w:keepNext/>
        <w:spacing w:before="280" w:after="80"/>
      </w:pPr>
      <w:r>
        <w:rPr>
          <w:rFonts w:ascii="Archivo" w:hAnsi="Archivo" w:cs="Archivo"/>
          <w:b/>
          <w:i w:val="0"/>
          <w:color w:val="231C1D"/>
          <w:sz w:val="28"/>
        </w:rPr>
        <w:t>2.1 Utenti e Ruoli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Vengono definiti i seguenti profili utente con relativi accessi in Odoo: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Profilo</w:t>
            </w:r>
          </w:p>
        </w:tc>
        <w:tc>
          <w:tcPr>
            <w:tcW w:type="dxa" w:w="1984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Utente</w:t>
            </w:r>
          </w:p>
        </w:tc>
        <w:tc>
          <w:tcPr>
            <w:tcW w:type="dxa" w:w="3402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Accessi principali</w:t>
            </w:r>
          </w:p>
        </w:tc>
        <w:tc>
          <w:tcPr>
            <w:tcW w:type="dxa" w:w="1701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1984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Commerciale</w:t>
            </w:r>
          </w:p>
        </w:tc>
        <w:tc>
          <w:tcPr>
            <w:tcW w:type="dxa" w:w="1984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Noemi Menegazzo</w:t>
            </w:r>
          </w:p>
        </w:tc>
        <w:tc>
          <w:tcPr>
            <w:tcW w:type="dxa" w:w="3402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Creazione e gestione opportunità CRM, redazione offerte, invio al responsabile per approvazione</w:t>
            </w:r>
          </w:p>
        </w:tc>
        <w:tc>
          <w:tcPr>
            <w:tcW w:type="dxa" w:w="170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Key user principale — accesso completo al modulo CRM e offerte</w:t>
            </w:r>
          </w:p>
        </w:tc>
      </w:tr>
      <w:tr>
        <w:tc>
          <w:tcPr>
            <w:tcW w:type="dxa" w:w="1984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Responsabile Commerciale</w:t>
            </w:r>
          </w:p>
        </w:tc>
        <w:tc>
          <w:tcPr>
            <w:tcW w:type="dxa" w:w="1984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Andrea Bassoli</w:t>
            </w:r>
          </w:p>
        </w:tc>
        <w:tc>
          <w:tcPr>
            <w:tcW w:type="dxa" w:w="3402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Approvazione offerte, assegnazione numero di protocollo, firma digitale, visualizzazione pipeline completo</w:t>
            </w:r>
          </w:p>
        </w:tc>
        <w:tc>
          <w:tcPr>
            <w:tcW w:type="dxa" w:w="1701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Unico approvatore — tutte le offerte passano per lui prima dell'invio al cliente</w:t>
            </w:r>
          </w:p>
        </w:tc>
      </w:tr>
      <w:tr>
        <w:tc>
          <w:tcPr>
            <w:tcW w:type="dxa" w:w="1984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Backoffice</w:t>
            </w:r>
          </w:p>
        </w:tc>
        <w:tc>
          <w:tcPr>
            <w:tcW w:type="dxa" w:w="1984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Claudia Grazioli</w:t>
            </w:r>
          </w:p>
        </w:tc>
        <w:tc>
          <w:tcPr>
            <w:tcW w:type="dxa" w:w="3402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Visualizzazione e gestione allegati post-accettazione, raccolta documenti firmati</w:t>
            </w:r>
          </w:p>
        </w:tc>
        <w:tc>
          <w:tcPr>
            <w:tcW w:type="dxa" w:w="170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Accede alle opportunità solo dal passaggio allo stato «Attesa documenti» in poi</w:t>
            </w:r>
          </w:p>
        </w:tc>
      </w:tr>
      <w:tr>
        <w:tc>
          <w:tcPr>
            <w:tcW w:type="dxa" w:w="1984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Referente cliente</w:t>
            </w:r>
          </w:p>
        </w:tc>
        <w:tc>
          <w:tcPr>
            <w:tcW w:type="dxa" w:w="1984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Luisa Fiorini</w:t>
            </w:r>
          </w:p>
        </w:tc>
        <w:tc>
          <w:tcPr>
            <w:tcW w:type="dxa" w:w="3402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Punto di contatto amministrativo TEA lato cliente</w:t>
            </w:r>
          </w:p>
        </w:tc>
        <w:tc>
          <w:tcPr>
            <w:tcW w:type="dxa" w:w="1701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Non utente Odoo — ruolo di coordinamento esterno</w:t>
            </w:r>
          </w:p>
        </w:tc>
      </w:tr>
    </w:tbl>
    <w:p/>
    <w:p>
      <w:pPr>
        <w:keepNext/>
        <w:spacing w:before="280" w:after="80"/>
      </w:pPr>
      <w:r>
        <w:rPr>
          <w:rFonts w:ascii="Archivo" w:hAnsi="Archivo" w:cs="Archivo"/>
          <w:b/>
          <w:i w:val="0"/>
          <w:color w:val="231C1D"/>
          <w:sz w:val="28"/>
        </w:rPr>
        <w:t>2.2 Anagrafica Clienti e Unità Produttive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Ogni azienda cliente in Odoo può avere una sede legale e una o più unità produttive (sedi operative da cui vengono ritirati i rifiuti). La distinzione è fondamentale per la corretta emissione dei documenti di trasporto e per l'intestazione dell'offerta.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I campi minimi richiesti per la creazione di un'anagrafica cliente sono: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Ragione sociale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Sede legale (indirizzo completo)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Partita IVA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PEC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Riferimento commerciale (nome, email, telefono)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I dati necessari per la fatturazione elettronica (codice SDI, regime fiscale) non sono bloccanti per la generazione dell'offerta: possono essere completati al momento della firma tramite il modulo allegato.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La segmentazione dei clienti avviene tramite tag nativi di Odoo (es. azienda agricola, officina meccanica, edilizia, ente pubblico), senza necessità di campi personalizzati.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La migrazione iniziale riguarderà i circa 500 clienti attivi. Le unità produttive verranno censite all'occorrenza o con un import separato.</w:t>
      </w:r>
    </w:p>
    <w:p>
      <w:pPr>
        <w:keepNext/>
        <w:spacing w:before="280" w:after="80"/>
      </w:pPr>
      <w:r>
        <w:rPr>
          <w:rFonts w:ascii="Archivo" w:hAnsi="Archivo" w:cs="Archivo"/>
          <w:b/>
          <w:i w:val="0"/>
          <w:color w:val="231C1D"/>
          <w:sz w:val="28"/>
        </w:rPr>
        <w:t>2.3 Catalogo Prodotti CER e Listini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Il catalogo dei rifiuti è strutturato su una gerarchia a quattro livelli: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Categoria CER (codice padre): es. 15 — Rifiuti di imballaggio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Prodotto CER (codice specifico): es. 15 01 01 — Imballaggi in carta e cartone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Listino fornitore: prezzo concordato con l'impianto di trattamento per quel CER, con specifica di stato fisico (es. solido, liquido) e operazione di trattamento (R o D)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Impianto di destino: struttura che esegue il trattamento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La chiave di univocità di ogni riga di listino è la combinazione: Prodotto CER + Impianto di destino + Classificazioni HP + Operazione di trattamento.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I listini fornitori hanno scadenza annuale (31/12) o semestrale (30/06) e devono essere aggiornati periodicamente. All'aggiornamento del listino vengono riallineate automaticamente le classificazioni di pericolo (HP) e le operazioni sul prodotto CER di riferimento.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Non sono previsti listini personalizzati per cliente: il prezzo di vendita viene determinato applicando il ricarico percentuale (default +20%) sul costo del fornitore, con possibilità di modifica manuale sulla singola riga d'offerta.</w:t>
      </w:r>
    </w:p>
    <w:p>
      <w:pPr>
        <w:keepNext/>
        <w:spacing w:before="280" w:after="80"/>
      </w:pPr>
      <w:r>
        <w:rPr>
          <w:rFonts w:ascii="Archivo" w:hAnsi="Archivo" w:cs="Archivo"/>
          <w:b/>
          <w:i w:val="0"/>
          <w:color w:val="231C1D"/>
          <w:sz w:val="28"/>
        </w:rPr>
        <w:t>2.4 Pipeline Commerciale (CRM)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Il pipeline CRM è personalizzato con 6 stadi che coprono l'intero ciclo dalla ricezione della richiesta all'accettazione finale.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Stadio</w:t>
            </w:r>
          </w:p>
        </w:tc>
        <w:tc>
          <w:tcPr>
            <w:tcW w:type="dxa" w:w="850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Seq.</w:t>
            </w:r>
          </w:p>
        </w:tc>
        <w:tc>
          <w:tcPr>
            <w:tcW w:type="dxa" w:w="4252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Descrizione</w:t>
            </w:r>
          </w:p>
        </w:tc>
        <w:tc>
          <w:tcPr>
            <w:tcW w:type="dxa" w:w="1984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Transizione</w:t>
            </w:r>
          </w:p>
        </w:tc>
      </w:tr>
      <w:tr>
        <w:tc>
          <w:tcPr>
            <w:tcW w:type="dxa" w:w="1984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Nuovo</w:t>
            </w:r>
          </w:p>
        </w:tc>
        <w:tc>
          <w:tcPr>
            <w:tcW w:type="dxa" w:w="8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10</w:t>
            </w:r>
          </w:p>
        </w:tc>
        <w:tc>
          <w:tcPr>
            <w:tcW w:type="dxa" w:w="4252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Richiesta ricevuta, non ancora assegnata</w:t>
            </w:r>
          </w:p>
        </w:tc>
        <w:tc>
          <w:tcPr>
            <w:tcW w:type="dxa" w:w="1984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Manuale — impostazione tipologia obbligatoria</w:t>
            </w:r>
          </w:p>
        </w:tc>
      </w:tr>
      <w:tr>
        <w:tc>
          <w:tcPr>
            <w:tcW w:type="dxa" w:w="1984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Preso in carico</w:t>
            </w:r>
          </w:p>
        </w:tc>
        <w:tc>
          <w:tcPr>
            <w:tcW w:type="dxa" w:w="850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15</w:t>
            </w:r>
          </w:p>
        </w:tc>
        <w:tc>
          <w:tcPr>
            <w:tcW w:type="dxa" w:w="4252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Il commerciale ha preso in carico la richiesta</w:t>
            </w:r>
          </w:p>
        </w:tc>
        <w:tc>
          <w:tcPr>
            <w:tcW w:type="dxa" w:w="1984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Manuale</w:t>
            </w:r>
          </w:p>
        </w:tc>
      </w:tr>
      <w:tr>
        <w:tc>
          <w:tcPr>
            <w:tcW w:type="dxa" w:w="1984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Elaborazione proposta</w:t>
            </w:r>
          </w:p>
        </w:tc>
        <w:tc>
          <w:tcPr>
            <w:tcW w:type="dxa" w:w="8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20</w:t>
            </w:r>
          </w:p>
        </w:tc>
        <w:tc>
          <w:tcPr>
            <w:tcW w:type="dxa" w:w="4252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Il commerciale sta redigendo l'offerta. Per offerte RS: 4 campi di documentazione obbligatori. Il sistema crea automaticamente il documento offerta.</w:t>
            </w:r>
          </w:p>
        </w:tc>
        <w:tc>
          <w:tcPr>
            <w:tcW w:type="dxa" w:w="1984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Manuale con validazioni</w:t>
            </w:r>
          </w:p>
        </w:tc>
      </w:tr>
      <w:tr>
        <w:tc>
          <w:tcPr>
            <w:tcW w:type="dxa" w:w="1984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Proposta inviata</w:t>
            </w:r>
          </w:p>
        </w:tc>
        <w:tc>
          <w:tcPr>
            <w:tcW w:type="dxa" w:w="850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30</w:t>
            </w:r>
          </w:p>
        </w:tc>
        <w:tc>
          <w:tcPr>
            <w:tcW w:type="dxa" w:w="4252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Offerta firmata e inviata al cliente</w:t>
            </w:r>
          </w:p>
        </w:tc>
        <w:tc>
          <w:tcPr>
            <w:tcW w:type="dxa" w:w="1984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Automatica — si attiva all'invio della richiesta di firma digitale</w:t>
            </w:r>
          </w:p>
        </w:tc>
      </w:tr>
      <w:tr>
        <w:tc>
          <w:tcPr>
            <w:tcW w:type="dxa" w:w="1984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Attesa documenti</w:t>
            </w:r>
          </w:p>
        </w:tc>
        <w:tc>
          <w:tcPr>
            <w:tcW w:type="dxa" w:w="8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40</w:t>
            </w:r>
          </w:p>
        </w:tc>
        <w:tc>
          <w:tcPr>
            <w:tcW w:type="dxa" w:w="4252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Cliente ha accettato; backoffice in attesa dei documenti firmati</w:t>
            </w:r>
          </w:p>
        </w:tc>
        <w:tc>
          <w:tcPr>
            <w:tcW w:type="dxa" w:w="1984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Automatica — si attiva all'accettazione dell'offerta da parte del cliente</w:t>
            </w:r>
          </w:p>
        </w:tc>
      </w:tr>
      <w:tr>
        <w:tc>
          <w:tcPr>
            <w:tcW w:type="dxa" w:w="1984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Offerta accettata</w:t>
            </w:r>
          </w:p>
        </w:tc>
        <w:tc>
          <w:tcPr>
            <w:tcW w:type="dxa" w:w="850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50</w:t>
            </w:r>
          </w:p>
        </w:tc>
        <w:tc>
          <w:tcPr>
            <w:tcW w:type="dxa" w:w="4252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Tutti i documenti richiesti sono stati ricevuti</w:t>
            </w:r>
          </w:p>
        </w:tc>
        <w:tc>
          <w:tcPr>
            <w:tcW w:type="dxa" w:w="1984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Manuale — solo quando tutti i flag documenti sono verificati</w:t>
            </w:r>
          </w:p>
        </w:tc>
      </w:tr>
    </w:tbl>
    <w:p/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Su ogni opportunità sono presenti due ruoli distinti: il Referente Commerciale (fisso, non cambia durante il processo) e l'Assegnatario corrente (può cambiare ad ogni fase del processo).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È possibile creare un'opportunità direttamente senza passare da una lead, per gestire i casi in cui la richiesta arriva da un cliente già noto.</w:t>
      </w:r>
    </w:p>
    <w:p>
      <w:pPr>
        <w:keepNext/>
        <w:spacing w:before="280" w:after="80"/>
      </w:pPr>
      <w:r>
        <w:rPr>
          <w:rFonts w:ascii="Archivo" w:hAnsi="Archivo" w:cs="Archivo"/>
          <w:b/>
          <w:i w:val="0"/>
          <w:color w:val="231C1D"/>
          <w:sz w:val="28"/>
        </w:rPr>
        <w:t>2.5 Tipi di Documento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Il sistema gestisce tre tipologie di documento commerciale, ciascuna con struttura e flusso specifici: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4252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Struttura</w:t>
            </w:r>
          </w:p>
        </w:tc>
        <w:tc>
          <w:tcPr>
            <w:tcW w:type="dxa" w:w="2835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Utilizzo tipico</w:t>
            </w:r>
          </w:p>
        </w:tc>
      </w:tr>
      <w:tr>
        <w:tc>
          <w:tcPr>
            <w:tcW w:type="dxa" w:w="1984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Offerta Rifiuti Speciali (RS)</w:t>
            </w:r>
          </w:p>
        </w:tc>
        <w:tc>
          <w:tcPr>
            <w:tcW w:type="dxa" w:w="4252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Tabella righe CER con prezzi unitari, ricarico e minimi fatturabili. Righe aggiuntive per servizi di trasporto.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Clienti che producono rifiuti speciali in modo continuativo</w:t>
            </w:r>
          </w:p>
        </w:tc>
      </w:tr>
      <w:tr>
        <w:tc>
          <w:tcPr>
            <w:tcW w:type="dxa" w:w="1984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Offerta TMB</w:t>
            </w:r>
          </w:p>
        </w:tc>
        <w:tc>
          <w:tcPr>
            <w:tcW w:type="dxa" w:w="4252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Documento sintetico con campi flat (dati cliente, CER singolo, prezzi). Struttura in 3 tabelle.</w:t>
            </w:r>
          </w:p>
        </w:tc>
        <w:tc>
          <w:tcPr>
            <w:tcW w:type="dxa" w:w="2835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Clienti che conferiscono a impianti di trattamento meccanico-biologico</w:t>
            </w:r>
          </w:p>
        </w:tc>
      </w:tr>
      <w:tr>
        <w:tc>
          <w:tcPr>
            <w:tcW w:type="dxa" w:w="1984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Contratto Discarica</w:t>
            </w:r>
          </w:p>
        </w:tc>
        <w:tc>
          <w:tcPr>
            <w:tcW w:type="dxa" w:w="4252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Contratto strutturato in 18 articoli con campi flat e allegato produttori (Allegato 2).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Clienti che smaltiscono in discarica — documento più articolato con obblighi normativi</w:t>
            </w:r>
          </w:p>
        </w:tc>
      </w:tr>
    </w:tbl>
    <w:p/>
    <w:p>
      <w:pPr>
        <w:keepNext/>
        <w:spacing w:before="280" w:after="80"/>
      </w:pPr>
      <w:r>
        <w:rPr>
          <w:rFonts w:ascii="Archivo" w:hAnsi="Archivo" w:cs="Archivo"/>
          <w:b/>
          <w:i w:val="0"/>
          <w:color w:val="231C1D"/>
          <w:sz w:val="28"/>
        </w:rPr>
        <w:t>2.6 Flusso Offerta Rifiuti Speciali (RS)</w:t>
      </w:r>
    </w:p>
    <w:p>
      <w:pPr>
        <w:keepNext/>
        <w:spacing w:before="200" w:after="60"/>
      </w:pPr>
      <w:r>
        <w:rPr>
          <w:rFonts w:ascii="Archivo" w:hAnsi="Archivo" w:cs="Archivo"/>
          <w:b/>
          <w:i w:val="0"/>
          <w:color w:val="231C1D"/>
          <w:sz w:val="22"/>
        </w:rPr>
        <w:t>Attori: Commerciale (Noemi) → Responsabile (Andrea) → Cliente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Trigger: ricezione richiesta da cliente (email / telefono)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Output: contratto firmato digitalmente + allegati ricevuti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567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Step</w:t>
            </w:r>
          </w:p>
        </w:tc>
        <w:tc>
          <w:tcPr>
            <w:tcW w:type="dxa" w:w="2551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Azione utente</w:t>
            </w:r>
          </w:p>
        </w:tc>
        <w:tc>
          <w:tcPr>
            <w:tcW w:type="dxa" w:w="2268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Dove in Odoo</w:t>
            </w:r>
          </w:p>
        </w:tc>
        <w:tc>
          <w:tcPr>
            <w:tcW w:type="dxa" w:w="3685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Risultato sistema</w:t>
            </w:r>
          </w:p>
        </w:tc>
      </w:tr>
      <w:tr>
        <w:tc>
          <w:tcPr>
            <w:tcW w:type="dxa" w:w="56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1</w:t>
            </w:r>
          </w:p>
        </w:tc>
        <w:tc>
          <w:tcPr>
            <w:tcW w:type="dxa" w:w="255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Apre nuova opportunità o converte lead esistente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CRM &gt; Pipeline &gt; Nuovo</w:t>
            </w:r>
          </w:p>
        </w:tc>
        <w:tc>
          <w:tcPr>
            <w:tcW w:type="dxa" w:w="368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Opportunità creata in stadio «Nuovo»</w:t>
            </w:r>
          </w:p>
        </w:tc>
      </w:tr>
      <w:tr>
        <w:tc>
          <w:tcPr>
            <w:tcW w:type="dxa" w:w="567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2</w:t>
            </w:r>
          </w:p>
        </w:tc>
        <w:tc>
          <w:tcPr>
            <w:tcW w:type="dxa" w:w="2551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Imposta la tipologia (RS) e compila i campi obbligatori</w:t>
            </w:r>
          </w:p>
        </w:tc>
        <w:tc>
          <w:tcPr>
            <w:tcW w:type="dxa" w:w="2268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CRM &gt; Opportunità</w:t>
            </w:r>
          </w:p>
        </w:tc>
        <w:tc>
          <w:tcPr>
            <w:tcW w:type="dxa" w:w="3685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Sistema abilita avanzamento a «Elaborazione proposta»</w:t>
            </w:r>
          </w:p>
        </w:tc>
      </w:tr>
      <w:tr>
        <w:tc>
          <w:tcPr>
            <w:tcW w:type="dxa" w:w="56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3</w:t>
            </w:r>
          </w:p>
        </w:tc>
        <w:tc>
          <w:tcPr>
            <w:tcW w:type="dxa" w:w="255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Avanza a «Elaborazione proposta»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CRM &gt; Pipeline</w:t>
            </w:r>
          </w:p>
        </w:tc>
        <w:tc>
          <w:tcPr>
            <w:tcW w:type="dxa" w:w="368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Sistema crea automaticamente il documento offerta RS collegato</w:t>
            </w:r>
          </w:p>
        </w:tc>
      </w:tr>
      <w:tr>
        <w:tc>
          <w:tcPr>
            <w:tcW w:type="dxa" w:w="567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4</w:t>
            </w:r>
          </w:p>
        </w:tc>
        <w:tc>
          <w:tcPr>
            <w:tcW w:type="dxa" w:w="2551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Apre l'offerta e inserisce le righe CER con quantità</w:t>
            </w:r>
          </w:p>
        </w:tc>
        <w:tc>
          <w:tcPr>
            <w:tcW w:type="dxa" w:w="2268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CRM &gt; Offerte &gt; Righe CER</w:t>
            </w:r>
          </w:p>
        </w:tc>
        <w:tc>
          <w:tcPr>
            <w:tcW w:type="dxa" w:w="3685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I prezzi fornitore vengono precompilati dal listino; il prezzo cliente viene calcolato con il ricarico di default</w:t>
            </w:r>
          </w:p>
        </w:tc>
      </w:tr>
      <w:tr>
        <w:tc>
          <w:tcPr>
            <w:tcW w:type="dxa" w:w="56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5</w:t>
            </w:r>
          </w:p>
        </w:tc>
        <w:tc>
          <w:tcPr>
            <w:tcW w:type="dxa" w:w="255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Modifica i prezzi se necessario, aggiunge righe servizi (trasporto)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CRM &gt; Offerte</w:t>
            </w:r>
          </w:p>
        </w:tc>
        <w:tc>
          <w:tcPr>
            <w:tcW w:type="dxa" w:w="368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Documento aggiornato con prezzi finali</w:t>
            </w:r>
          </w:p>
        </w:tc>
      </w:tr>
      <w:tr>
        <w:tc>
          <w:tcPr>
            <w:tcW w:type="dxa" w:w="567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6</w:t>
            </w:r>
          </w:p>
        </w:tc>
        <w:tc>
          <w:tcPr>
            <w:tcW w:type="dxa" w:w="2551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Salva e invia per approvazione</w:t>
            </w:r>
          </w:p>
        </w:tc>
        <w:tc>
          <w:tcPr>
            <w:tcW w:type="dxa" w:w="2268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CRM &gt; Offerte &gt; Invia per approvazione</w:t>
            </w:r>
          </w:p>
        </w:tc>
        <w:tc>
          <w:tcPr>
            <w:tcW w:type="dxa" w:w="3685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Notifica email ad Andrea Bassoli; offerta passa in stato «In approvazione»</w:t>
            </w:r>
          </w:p>
        </w:tc>
      </w:tr>
      <w:tr>
        <w:tc>
          <w:tcPr>
            <w:tcW w:type="dxa" w:w="56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7</w:t>
            </w:r>
          </w:p>
        </w:tc>
        <w:tc>
          <w:tcPr>
            <w:tcW w:type="dxa" w:w="255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Andrea verifica l'offerta, assegna il numero di protocollo e approva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CRM &gt; Offerte &gt; Approva</w:t>
            </w:r>
          </w:p>
        </w:tc>
        <w:tc>
          <w:tcPr>
            <w:tcW w:type="dxa" w:w="368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Offerta in stato «Approvata»; protocollo generato automaticamente (formato O-XXXX/ANNO/INIZIALI)</w:t>
            </w:r>
          </w:p>
        </w:tc>
      </w:tr>
      <w:tr>
        <w:tc>
          <w:tcPr>
            <w:tcW w:type="dxa" w:w="567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8</w:t>
            </w:r>
          </w:p>
        </w:tc>
        <w:tc>
          <w:tcPr>
            <w:tcW w:type="dxa" w:w="2551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Andrea (o Noemi) avvia la richiesta di firma digitale</w:t>
            </w:r>
          </w:p>
        </w:tc>
        <w:tc>
          <w:tcPr>
            <w:tcW w:type="dxa" w:w="2268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CRM &gt; Offerte &gt; Invia per firma</w:t>
            </w:r>
          </w:p>
        </w:tc>
        <w:tc>
          <w:tcPr>
            <w:tcW w:type="dxa" w:w="3685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Email inviata al cliente con link firma digitale; opportunità passa a «Proposta inviata»</w:t>
            </w:r>
          </w:p>
        </w:tc>
      </w:tr>
      <w:tr>
        <w:tc>
          <w:tcPr>
            <w:tcW w:type="dxa" w:w="56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9</w:t>
            </w:r>
          </w:p>
        </w:tc>
        <w:tc>
          <w:tcPr>
            <w:tcW w:type="dxa" w:w="255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Il cliente firma digitalmente il documento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Portale cliente Odoo</w:t>
            </w:r>
          </w:p>
        </w:tc>
        <w:tc>
          <w:tcPr>
            <w:tcW w:type="dxa" w:w="368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Accettazione registrata automaticamente; opportunità passa a «Attesa documenti»; email notifica a Claudia</w:t>
            </w:r>
          </w:p>
        </w:tc>
      </w:tr>
      <w:tr>
        <w:tc>
          <w:tcPr>
            <w:tcW w:type="dxa" w:w="567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10</w:t>
            </w:r>
          </w:p>
        </w:tc>
        <w:tc>
          <w:tcPr>
            <w:tcW w:type="dxa" w:w="2551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Claudia raccoglie gli allegati firmati dal cliente</w:t>
            </w:r>
          </w:p>
        </w:tc>
        <w:tc>
          <w:tcPr>
            <w:tcW w:type="dxa" w:w="2268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CRM &gt; Opportunità &gt; Tab Documenti</w:t>
            </w:r>
          </w:p>
        </w:tc>
        <w:tc>
          <w:tcPr>
            <w:tcW w:type="dxa" w:w="3685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Flag «ricevuto firmato» aggiornati; quando tutti completi → opportunità avanza a «Offerta accettata»</w:t>
            </w:r>
          </w:p>
        </w:tc>
      </w:tr>
    </w:tbl>
    <w:p/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Regole di validazione: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Per avanzare a «Elaborazione proposta» (offerte RS): 4 campi documentazione devono essere compilati.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Il numero di protocollo viene generato automaticamente al momento dell'approvazione.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L'avanzamento a «Offerta accettata» richiede che tutti i documenti con flag «deve tornare firmato» abbiano anche il flag «ricevuto firmato» attivato.</w:t>
      </w:r>
    </w:p>
    <w:p>
      <w:pPr>
        <w:keepNext/>
        <w:spacing w:before="200" w:after="60"/>
      </w:pPr>
      <w:r>
        <w:rPr>
          <w:rFonts w:ascii="Archivo" w:hAnsi="Archivo" w:cs="Archivo"/>
          <w:b/>
          <w:i w:val="0"/>
          <w:color w:val="231C1D"/>
          <w:sz w:val="22"/>
        </w:rPr>
        <w:t>Gestione firma alternativa (firma manuale)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In alternativa alla firma digitale integrata, è possibile scaricare il PDF dell'offerta, farlo firmare manualmente dal cliente e ricaricarlo come allegato. In questo caso l'avanzamento degli stadi va gestito manualmente dall'utente.</w:t>
      </w:r>
    </w:p>
    <w:p>
      <w:pPr>
        <w:keepNext/>
        <w:spacing w:before="280" w:after="80"/>
      </w:pPr>
      <w:r>
        <w:rPr>
          <w:rFonts w:ascii="Archivo" w:hAnsi="Archivo" w:cs="Archivo"/>
          <w:b/>
          <w:i w:val="0"/>
          <w:color w:val="231C1D"/>
          <w:sz w:val="28"/>
        </w:rPr>
        <w:t>2.7 Flusso Offerta TMB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L'offerta TMB è un documento più snello rispetto all'RS. Prevede un singolo CER, dati flat dell'impianto di destino e del cliente, e si presenta in 3 tabelle sintetiche.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Il flusso di approvazione e firma è analogo all'offerta RS: creazione → approvazione Andrea → firma digitale → accettazione.</w:t>
      </w:r>
    </w:p>
    <w:p>
      <w:pPr>
        <w:keepNext/>
        <w:spacing w:before="280" w:after="80"/>
      </w:pPr>
      <w:r>
        <w:rPr>
          <w:rFonts w:ascii="Archivo" w:hAnsi="Archivo" w:cs="Archivo"/>
          <w:b/>
          <w:i w:val="0"/>
          <w:color w:val="231C1D"/>
          <w:sz w:val="28"/>
        </w:rPr>
        <w:t>2.8 Flusso Contratto Discarica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Il contratto Discarica è il documento più articolato: comprende 18 articoli con obblighi normativi specifici e un allegato produttori (Allegato 2) contenente l'elenco delle unità produttive conferenti.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Per la redazione automatizzata, il sistema compila i campi variabili del contratto (dati cliente, prezzi, impianto, date) mantenendo invariato il testo degli articoli standard.</w:t>
      </w:r>
    </w:p>
    <w:p>
      <w:pPr>
        <w:keepNext/>
        <w:spacing w:before="280" w:after="80"/>
      </w:pPr>
      <w:r>
        <w:rPr>
          <w:rFonts w:ascii="Archivo" w:hAnsi="Archivo" w:cs="Archivo"/>
          <w:b/>
          <w:i w:val="0"/>
          <w:color w:val="231C1D"/>
          <w:sz w:val="28"/>
        </w:rPr>
        <w:t>2.9 Gestione Allegati e Documenti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Su ogni opportunità è presente una sezione dedicata alla gestione degli allegati. Per ogni documento richiesto sono disponibili due flag: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«Deve essere restituito firmato dal cliente»: indica che il documento richiede firma del cliente prima di poter considerare il contratto perfezionato.</w:t>
      </w:r>
    </w:p>
    <w:p>
      <w:pPr>
        <w:pStyle w:val="ListBullet"/>
        <w:spacing w:before="20" w:after="20"/>
        <w:ind w:left="283"/>
      </w:pPr>
      <w:r>
        <w:rPr>
          <w:rFonts w:ascii="Archivo" w:hAnsi="Archivo" w:cs="Archivo"/>
          <w:b w:val="0"/>
          <w:i w:val="0"/>
          <w:color w:val="231C1D"/>
          <w:sz w:val="22"/>
        </w:rPr>
        <w:t>«Ricevuto firmato»: da attivare quando il documento firmato è stato ricevuto da Claudia.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Ogni allegato può avere un collegamento diretto al file su Google Drive, per agevolare la gestione documentale.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L'invio al cliente avviene in due email distinte: (1) contratto con richiesta di firma digitale, (2) allegati informativi (privacy, condizioni generali) inviati manualmente dopo conferma della firma.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I template delle email vengono preconfigurati nel sistema e includono automaticamente la documentazione standard allegata (informativa privacy, condizioni generali).</w:t>
      </w:r>
    </w:p>
    <w:p>
      <w:pPr>
        <w:keepNext/>
        <w:spacing w:before="280" w:after="80"/>
      </w:pPr>
      <w:r>
        <w:rPr>
          <w:rFonts w:ascii="Archivo" w:hAnsi="Archivo" w:cs="Archivo"/>
          <w:b/>
          <w:i w:val="0"/>
          <w:color w:val="231C1D"/>
          <w:sz w:val="28"/>
        </w:rPr>
        <w:t>2.10 Schede di Caratterizzazione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Il sistema prevede un archivio di schede di caratterizzazione, documenti tecnici che descrivono le caratteristiche del rifiuto prodotto da un cliente specifico.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La chiave di univocità di ogni scheda è la combinazione di: Tipologia cliente + Codice CER + Impianto di destino + Classificazioni HP + Operazione di trattamento.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Le schede sono accessibili tramite un modello dedicato che consente ricerche rapide per cliente, CER o impianto, evitando la produzione di schede duplicate.</w:t>
      </w:r>
    </w:p>
    <w:p>
      <w:pPr>
        <w:keepNext/>
        <w:spacing w:before="280" w:after="80"/>
      </w:pPr>
      <w:r>
        <w:rPr>
          <w:rFonts w:ascii="Archivo" w:hAnsi="Archivo" w:cs="Archivo"/>
          <w:b/>
          <w:i w:val="0"/>
          <w:color w:val="231C1D"/>
          <w:sz w:val="28"/>
        </w:rPr>
        <w:t>2.11 Notifiche e Automazioni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Evento</w:t>
            </w:r>
          </w:p>
        </w:tc>
        <w:tc>
          <w:tcPr>
            <w:tcW w:type="dxa" w:w="2268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Notifica</w:t>
            </w:r>
          </w:p>
        </w:tc>
        <w:tc>
          <w:tcPr>
            <w:tcW w:type="dxa" w:w="3685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Destinatario</w:t>
            </w:r>
          </w:p>
        </w:tc>
      </w:tr>
      <w:tr>
        <w:tc>
          <w:tcPr>
            <w:tcW w:type="dxa" w:w="311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Offerta inviata per approvazione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Email automatica</w:t>
            </w:r>
          </w:p>
        </w:tc>
        <w:tc>
          <w:tcPr>
            <w:tcW w:type="dxa" w:w="368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Andrea Bassoli (Responsabile Commerciale)</w:t>
            </w:r>
          </w:p>
        </w:tc>
      </w:tr>
      <w:tr>
        <w:tc>
          <w:tcPr>
            <w:tcW w:type="dxa" w:w="3118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Cliente accetta l'offerta</w:t>
            </w:r>
          </w:p>
        </w:tc>
        <w:tc>
          <w:tcPr>
            <w:tcW w:type="dxa" w:w="2268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Email automatica</w:t>
            </w:r>
          </w:p>
        </w:tc>
        <w:tc>
          <w:tcPr>
            <w:tcW w:type="dxa" w:w="3685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Claudia Grazioli (Backoffice)</w:t>
            </w:r>
          </w:p>
        </w:tc>
      </w:tr>
      <w:tr>
        <w:tc>
          <w:tcPr>
            <w:tcW w:type="dxa" w:w="311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Offerta in approvazione da oltre N giorni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Reminder automatico giornaliero</w:t>
            </w:r>
          </w:p>
        </w:tc>
        <w:tc>
          <w:tcPr>
            <w:tcW w:type="dxa" w:w="368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Andrea Bassoli</w:t>
            </w:r>
          </w:p>
        </w:tc>
      </w:tr>
      <w:tr>
        <w:tc>
          <w:tcPr>
            <w:tcW w:type="dxa" w:w="3118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Coda giornaliera approvazioni</w:t>
            </w:r>
          </w:p>
        </w:tc>
        <w:tc>
          <w:tcPr>
            <w:tcW w:type="dxa" w:w="2268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Report automatico</w:t>
            </w:r>
          </w:p>
        </w:tc>
        <w:tc>
          <w:tcPr>
            <w:tcW w:type="dxa" w:w="3685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Andrea Bassoli — supporto approvazione massiva</w:t>
            </w:r>
          </w:p>
        </w:tc>
      </w:tr>
    </w:tbl>
    <w:p/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Per i dati riservati (es. classificazioni di pericolo HP, operazioni R/D, stato fisico del rifiuto): questi campi sono visibili internamente nel sistema per facilitare l'inserimento nel VMS, ma vengono esclusi dalla stampa destinata al cliente.</w:t>
      </w:r>
    </w:p>
    <w:p>
      <w:r>
        <w:br w:type="page"/>
      </w:r>
    </w:p>
    <w:p>
      <w:pPr>
        <w:keepNext/>
        <w:spacing w:before="400" w:after="120"/>
      </w:pPr>
      <w:r>
        <w:rPr>
          <w:rFonts w:ascii="Archivo" w:hAnsi="Archivo" w:cs="Archivo"/>
          <w:b/>
          <w:i w:val="0"/>
          <w:color w:val="248B7E"/>
          <w:sz w:val="40"/>
        </w:rPr>
        <w:t>3. Gap Analysis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La tabella seguente confronta il processo AS-IS con la soluzione TO-BE in Odoo, classificando i gap per tipo e livello di effort.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Legenda — Tipo: Standard = coperto nativamente da Odoo Enterprise; Config = configurazione senza sviluppo; Custom = sviluppo o modulo specifico; Out = fuori scope. Effort: Basso &lt; 0,5 gg; Medio 0,5–2 gg; Alto &gt; 2 gg.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850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17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Area</w:t>
            </w:r>
          </w:p>
        </w:tc>
        <w:tc>
          <w:tcPr>
            <w:tcW w:type="dxa" w:w="2268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AS-IS</w:t>
            </w:r>
          </w:p>
        </w:tc>
        <w:tc>
          <w:tcPr>
            <w:tcW w:type="dxa" w:w="2551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Soluzione TO-BE</w:t>
            </w:r>
          </w:p>
        </w:tc>
        <w:tc>
          <w:tcPr>
            <w:tcW w:type="dxa" w:w="850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850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Effort</w:t>
            </w:r>
          </w:p>
        </w:tc>
        <w:tc>
          <w:tcPr>
            <w:tcW w:type="dxa" w:w="1134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8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GAP-001</w:t>
            </w:r>
          </w:p>
        </w:tc>
        <w:tc>
          <w:tcPr>
            <w:tcW w:type="dxa" w:w="141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Pipeline CRM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Excel di tracciamento manuale, nessuna visibilità centralizzata</w:t>
            </w:r>
          </w:p>
        </w:tc>
        <w:tc>
          <w:tcPr>
            <w:tcW w:type="dxa" w:w="255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Pipeline CRM Odoo con 6 stadi e filtri personalizzati</w:t>
            </w:r>
          </w:p>
        </w:tc>
        <w:tc>
          <w:tcPr>
            <w:tcW w:type="dxa" w:w="8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Config</w:t>
            </w:r>
          </w:p>
        </w:tc>
        <w:tc>
          <w:tcPr>
            <w:tcW w:type="dxa" w:w="8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Basso</w:t>
            </w:r>
          </w:p>
        </w:tc>
        <w:tc>
          <w:tcPr>
            <w:tcW w:type="dxa" w:w="1134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—</w:t>
            </w:r>
          </w:p>
        </w:tc>
      </w:tr>
      <w:tr>
        <w:tc>
          <w:tcPr>
            <w:tcW w:type="dxa" w:w="850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GAP-002</w:t>
            </w:r>
          </w:p>
        </w:tc>
        <w:tc>
          <w:tcPr>
            <w:tcW w:type="dxa" w:w="1417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Offerta RS</w:t>
            </w:r>
          </w:p>
        </w:tc>
        <w:tc>
          <w:tcPr>
            <w:tcW w:type="dxa" w:w="2268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Stampa unione Word, redazione manuale riga per riga</w:t>
            </w:r>
          </w:p>
        </w:tc>
        <w:tc>
          <w:tcPr>
            <w:tcW w:type="dxa" w:w="2551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Documento offerta strutturato con righe CER, prezzi da listino e ricarico automatico</w:t>
            </w:r>
          </w:p>
        </w:tc>
        <w:tc>
          <w:tcPr>
            <w:tcW w:type="dxa" w:w="850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Custom</w:t>
            </w:r>
          </w:p>
        </w:tc>
        <w:tc>
          <w:tcPr>
            <w:tcW w:type="dxa" w:w="850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Alto</w:t>
            </w:r>
          </w:p>
        </w:tc>
        <w:tc>
          <w:tcPr>
            <w:tcW w:type="dxa" w:w="1134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Modulo custom tea_quotations</w:t>
            </w:r>
          </w:p>
        </w:tc>
      </w:tr>
      <w:tr>
        <w:tc>
          <w:tcPr>
            <w:tcW w:type="dxa" w:w="8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GAP-003</w:t>
            </w:r>
          </w:p>
        </w:tc>
        <w:tc>
          <w:tcPr>
            <w:tcW w:type="dxa" w:w="141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Offerta TMB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Template Word dedicato, compilazione manuale</w:t>
            </w:r>
          </w:p>
        </w:tc>
        <w:tc>
          <w:tcPr>
            <w:tcW w:type="dxa" w:w="255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Documento TMB con campi flat precompilati</w:t>
            </w:r>
          </w:p>
        </w:tc>
        <w:tc>
          <w:tcPr>
            <w:tcW w:type="dxa" w:w="8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Custom</w:t>
            </w:r>
          </w:p>
        </w:tc>
        <w:tc>
          <w:tcPr>
            <w:tcW w:type="dxa" w:w="8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Medio</w:t>
            </w:r>
          </w:p>
        </w:tc>
        <w:tc>
          <w:tcPr>
            <w:tcW w:type="dxa" w:w="1134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Incluso nel modulo</w:t>
            </w:r>
          </w:p>
        </w:tc>
      </w:tr>
      <w:tr>
        <w:tc>
          <w:tcPr>
            <w:tcW w:type="dxa" w:w="850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GAP-004</w:t>
            </w:r>
          </w:p>
        </w:tc>
        <w:tc>
          <w:tcPr>
            <w:tcW w:type="dxa" w:w="1417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Contratto Discarica</w:t>
            </w:r>
          </w:p>
        </w:tc>
        <w:tc>
          <w:tcPr>
            <w:tcW w:type="dxa" w:w="2268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Contratto Word 18+ pagine, stampa unione</w:t>
            </w:r>
          </w:p>
        </w:tc>
        <w:tc>
          <w:tcPr>
            <w:tcW w:type="dxa" w:w="2551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Contratto Discarica con 18 articoli e Allegato 2 produttori</w:t>
            </w:r>
          </w:p>
        </w:tc>
        <w:tc>
          <w:tcPr>
            <w:tcW w:type="dxa" w:w="850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Custom</w:t>
            </w:r>
          </w:p>
        </w:tc>
        <w:tc>
          <w:tcPr>
            <w:tcW w:type="dxa" w:w="850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Alto</w:t>
            </w:r>
          </w:p>
        </w:tc>
        <w:tc>
          <w:tcPr>
            <w:tcW w:type="dxa" w:w="1134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Incluso nel modulo</w:t>
            </w:r>
          </w:p>
        </w:tc>
      </w:tr>
      <w:tr>
        <w:tc>
          <w:tcPr>
            <w:tcW w:type="dxa" w:w="8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GAP-005</w:t>
            </w:r>
          </w:p>
        </w:tc>
        <w:tc>
          <w:tcPr>
            <w:tcW w:type="dxa" w:w="141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Approvazione offerte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Processo informale via email</w:t>
            </w:r>
          </w:p>
        </w:tc>
        <w:tc>
          <w:tcPr>
            <w:tcW w:type="dxa" w:w="255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Workflow approvazione con stati, notifiche email automatiche e coda giornaliera</w:t>
            </w:r>
          </w:p>
        </w:tc>
        <w:tc>
          <w:tcPr>
            <w:tcW w:type="dxa" w:w="8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Custom</w:t>
            </w:r>
          </w:p>
        </w:tc>
        <w:tc>
          <w:tcPr>
            <w:tcW w:type="dxa" w:w="8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Medio</w:t>
            </w:r>
          </w:p>
        </w:tc>
        <w:tc>
          <w:tcPr>
            <w:tcW w:type="dxa" w:w="1134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—</w:t>
            </w:r>
          </w:p>
        </w:tc>
      </w:tr>
      <w:tr>
        <w:tc>
          <w:tcPr>
            <w:tcW w:type="dxa" w:w="850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GAP-006</w:t>
            </w:r>
          </w:p>
        </w:tc>
        <w:tc>
          <w:tcPr>
            <w:tcW w:type="dxa" w:w="1417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Protocollo numerico</w:t>
            </w:r>
          </w:p>
        </w:tc>
        <w:tc>
          <w:tcPr>
            <w:tcW w:type="dxa" w:w="2268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Assegnazione manuale dal responsabile</w:t>
            </w:r>
          </w:p>
        </w:tc>
        <w:tc>
          <w:tcPr>
            <w:tcW w:type="dxa" w:w="2551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Generazione automatica formato O-XXXX/ANNO/INIZIALI</w:t>
            </w:r>
          </w:p>
        </w:tc>
        <w:tc>
          <w:tcPr>
            <w:tcW w:type="dxa" w:w="850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Custom</w:t>
            </w:r>
          </w:p>
        </w:tc>
        <w:tc>
          <w:tcPr>
            <w:tcW w:type="dxa" w:w="850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Basso</w:t>
            </w:r>
          </w:p>
        </w:tc>
        <w:tc>
          <w:tcPr>
            <w:tcW w:type="dxa" w:w="1134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—</w:t>
            </w:r>
          </w:p>
        </w:tc>
      </w:tr>
      <w:tr>
        <w:tc>
          <w:tcPr>
            <w:tcW w:type="dxa" w:w="8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GAP-007</w:t>
            </w:r>
          </w:p>
        </w:tc>
        <w:tc>
          <w:tcPr>
            <w:tcW w:type="dxa" w:w="141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Firma contratti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Firma cartacea, stampa e riconsegna via email</w:t>
            </w:r>
          </w:p>
        </w:tc>
        <w:tc>
          <w:tcPr>
            <w:tcW w:type="dxa" w:w="255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Firma digitale integrata Odoo Sign</w:t>
            </w:r>
          </w:p>
        </w:tc>
        <w:tc>
          <w:tcPr>
            <w:tcW w:type="dxa" w:w="8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Standard</w:t>
            </w:r>
          </w:p>
        </w:tc>
        <w:tc>
          <w:tcPr>
            <w:tcW w:type="dxa" w:w="8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Basso</w:t>
            </w:r>
          </w:p>
        </w:tc>
        <w:tc>
          <w:tcPr>
            <w:tcW w:type="dxa" w:w="1134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Modulo Sign incluso</w:t>
            </w:r>
          </w:p>
        </w:tc>
      </w:tr>
      <w:tr>
        <w:tc>
          <w:tcPr>
            <w:tcW w:type="dxa" w:w="850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GAP-008</w:t>
            </w:r>
          </w:p>
        </w:tc>
        <w:tc>
          <w:tcPr>
            <w:tcW w:type="dxa" w:w="1417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Listini fornitori</w:t>
            </w:r>
          </w:p>
        </w:tc>
        <w:tc>
          <w:tcPr>
            <w:tcW w:type="dxa" w:w="2268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File Excel aggiornato manualmente, rischio versioni obsolete</w:t>
            </w:r>
          </w:p>
        </w:tc>
        <w:tc>
          <w:tcPr>
            <w:tcW w:type="dxa" w:w="2551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Listini strutturati in Odoo con scadenza e aggiornamento guidato</w:t>
            </w:r>
          </w:p>
        </w:tc>
        <w:tc>
          <w:tcPr>
            <w:tcW w:type="dxa" w:w="850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Custom</w:t>
            </w:r>
          </w:p>
        </w:tc>
        <w:tc>
          <w:tcPr>
            <w:tcW w:type="dxa" w:w="850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Medio</w:t>
            </w:r>
          </w:p>
        </w:tc>
        <w:tc>
          <w:tcPr>
            <w:tcW w:type="dxa" w:w="1134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—</w:t>
            </w:r>
          </w:p>
        </w:tc>
      </w:tr>
      <w:tr>
        <w:tc>
          <w:tcPr>
            <w:tcW w:type="dxa" w:w="8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GAP-009</w:t>
            </w:r>
          </w:p>
        </w:tc>
        <w:tc>
          <w:tcPr>
            <w:tcW w:type="dxa" w:w="141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Schede di caratterizzazione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Nessun archivio sistematico</w:t>
            </w:r>
          </w:p>
        </w:tc>
        <w:tc>
          <w:tcPr>
            <w:tcW w:type="dxa" w:w="255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Archivio schede con chiave univoca e ricerca avanzata</w:t>
            </w:r>
          </w:p>
        </w:tc>
        <w:tc>
          <w:tcPr>
            <w:tcW w:type="dxa" w:w="8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Custom</w:t>
            </w:r>
          </w:p>
        </w:tc>
        <w:tc>
          <w:tcPr>
            <w:tcW w:type="dxa" w:w="8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Medio</w:t>
            </w:r>
          </w:p>
        </w:tc>
        <w:tc>
          <w:tcPr>
            <w:tcW w:type="dxa" w:w="1134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—</w:t>
            </w:r>
          </w:p>
        </w:tc>
      </w:tr>
      <w:tr>
        <w:tc>
          <w:tcPr>
            <w:tcW w:type="dxa" w:w="850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GAP-010</w:t>
            </w:r>
          </w:p>
        </w:tc>
        <w:tc>
          <w:tcPr>
            <w:tcW w:type="dxa" w:w="1417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Gestione allegati</w:t>
            </w:r>
          </w:p>
        </w:tc>
        <w:tc>
          <w:tcPr>
            <w:tcW w:type="dxa" w:w="2268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Email con allegati, nessun tracciamento ricezione firma</w:t>
            </w:r>
          </w:p>
        </w:tc>
        <w:tc>
          <w:tcPr>
            <w:tcW w:type="dxa" w:w="2551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Tab allegati con flag «deve tornare firmato» e «ricevuto firmato», link Google Drive</w:t>
            </w:r>
          </w:p>
        </w:tc>
        <w:tc>
          <w:tcPr>
            <w:tcW w:type="dxa" w:w="850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Custom</w:t>
            </w:r>
          </w:p>
        </w:tc>
        <w:tc>
          <w:tcPr>
            <w:tcW w:type="dxa" w:w="850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Basso</w:t>
            </w:r>
          </w:p>
        </w:tc>
        <w:tc>
          <w:tcPr>
            <w:tcW w:type="dxa" w:w="1134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—</w:t>
            </w:r>
          </w:p>
        </w:tc>
      </w:tr>
      <w:tr>
        <w:tc>
          <w:tcPr>
            <w:tcW w:type="dxa" w:w="8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GAP-011</w:t>
            </w:r>
          </w:p>
        </w:tc>
        <w:tc>
          <w:tcPr>
            <w:tcW w:type="dxa" w:w="141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Notifiche automatiche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Nessuna automazione, comunicazioni manuali</w:t>
            </w:r>
          </w:p>
        </w:tc>
        <w:tc>
          <w:tcPr>
            <w:tcW w:type="dxa" w:w="255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Email automatiche per approvazione, accettazione, reminder</w:t>
            </w:r>
          </w:p>
        </w:tc>
        <w:tc>
          <w:tcPr>
            <w:tcW w:type="dxa" w:w="8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Config</w:t>
            </w:r>
          </w:p>
        </w:tc>
        <w:tc>
          <w:tcPr>
            <w:tcW w:type="dxa" w:w="8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Basso</w:t>
            </w:r>
          </w:p>
        </w:tc>
        <w:tc>
          <w:tcPr>
            <w:tcW w:type="dxa" w:w="1134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Template email configurabili</w:t>
            </w:r>
          </w:p>
        </w:tc>
      </w:tr>
      <w:tr>
        <w:tc>
          <w:tcPr>
            <w:tcW w:type="dxa" w:w="850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GAP-012</w:t>
            </w:r>
          </w:p>
        </w:tc>
        <w:tc>
          <w:tcPr>
            <w:tcW w:type="dxa" w:w="1417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Anagrafiche clienti</w:t>
            </w:r>
          </w:p>
        </w:tc>
        <w:tc>
          <w:tcPr>
            <w:tcW w:type="dxa" w:w="2268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File Excel + VMS, nessuna visibilità unità produttive</w:t>
            </w:r>
          </w:p>
        </w:tc>
        <w:tc>
          <w:tcPr>
            <w:tcW w:type="dxa" w:w="2551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Anagrafica Odoo con sede legale e unità produttive multiple</w:t>
            </w:r>
          </w:p>
        </w:tc>
        <w:tc>
          <w:tcPr>
            <w:tcW w:type="dxa" w:w="850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Standard</w:t>
            </w:r>
          </w:p>
        </w:tc>
        <w:tc>
          <w:tcPr>
            <w:tcW w:type="dxa" w:w="850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Basso</w:t>
            </w:r>
          </w:p>
        </w:tc>
        <w:tc>
          <w:tcPr>
            <w:tcW w:type="dxa" w:w="1134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Migrazione ~500 clienti attivi</w:t>
            </w:r>
          </w:p>
        </w:tc>
      </w:tr>
      <w:tr>
        <w:tc>
          <w:tcPr>
            <w:tcW w:type="dxa" w:w="8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GAP-013</w:t>
            </w:r>
          </w:p>
        </w:tc>
        <w:tc>
          <w:tcPr>
            <w:tcW w:type="dxa" w:w="141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Integrazione VMS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Doppio inserimento manuale (Odoo + VMS)</w:t>
            </w:r>
          </w:p>
        </w:tc>
        <w:tc>
          <w:tcPr>
            <w:tcW w:type="dxa" w:w="255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Nessuna integrazione prevista — inserimento VMS rimane manuale</w:t>
            </w:r>
          </w:p>
        </w:tc>
        <w:tc>
          <w:tcPr>
            <w:tcW w:type="dxa" w:w="8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Out</w:t>
            </w:r>
          </w:p>
        </w:tc>
        <w:tc>
          <w:tcPr>
            <w:tcW w:type="dxa" w:w="8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—</w:t>
            </w:r>
          </w:p>
        </w:tc>
        <w:tc>
          <w:tcPr>
            <w:tcW w:type="dxa" w:w="1134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Fuori scope Fase 1</w:t>
            </w:r>
          </w:p>
        </w:tc>
      </w:tr>
      <w:tr>
        <w:tc>
          <w:tcPr>
            <w:tcW w:type="dxa" w:w="850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GAP-014</w:t>
            </w:r>
          </w:p>
        </w:tc>
        <w:tc>
          <w:tcPr>
            <w:tcW w:type="dxa" w:w="1417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Fatturazione</w:t>
            </w:r>
          </w:p>
        </w:tc>
        <w:tc>
          <w:tcPr>
            <w:tcW w:type="dxa" w:w="2268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Mensile a consuntivo su peso effettivo</w:t>
            </w:r>
          </w:p>
        </w:tc>
        <w:tc>
          <w:tcPr>
            <w:tcW w:type="dxa" w:w="2551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Fuori da Odoo</w:t>
            </w:r>
          </w:p>
        </w:tc>
        <w:tc>
          <w:tcPr>
            <w:tcW w:type="dxa" w:w="850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Out</w:t>
            </w:r>
          </w:p>
        </w:tc>
        <w:tc>
          <w:tcPr>
            <w:tcW w:type="dxa" w:w="850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—</w:t>
            </w:r>
          </w:p>
        </w:tc>
        <w:tc>
          <w:tcPr>
            <w:tcW w:type="dxa" w:w="1134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Fatturazione fuori scope</w:t>
            </w:r>
          </w:p>
        </w:tc>
      </w:tr>
    </w:tbl>
    <w:p/>
    <w:p>
      <w:r>
        <w:br w:type="page"/>
      </w:r>
    </w:p>
    <w:p>
      <w:pPr>
        <w:keepNext/>
        <w:spacing w:before="400" w:after="120"/>
      </w:pPr>
      <w:r>
        <w:rPr>
          <w:rFonts w:ascii="Archivo" w:hAnsi="Archivo" w:cs="Archivo"/>
          <w:b/>
          <w:i w:val="0"/>
          <w:color w:val="248B7E"/>
          <w:sz w:val="40"/>
        </w:rPr>
        <w:t>4. Configurazioni di Sistema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Di seguito le principali configurazioni da eseguire in Odoo prima o durante il go-live, raggruppate per area funzionale.</w:t>
      </w:r>
    </w:p>
    <w:p>
      <w:pPr>
        <w:keepNext/>
        <w:spacing w:before="280" w:after="80"/>
      </w:pPr>
      <w:r>
        <w:rPr>
          <w:rFonts w:ascii="Archivo" w:hAnsi="Archivo" w:cs="Archivo"/>
          <w:b/>
          <w:i w:val="0"/>
          <w:color w:val="231C1D"/>
          <w:sz w:val="28"/>
        </w:rPr>
        <w:t>4.1 CRM — Pipeline e Stadi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Voce</w:t>
            </w:r>
          </w:p>
        </w:tc>
        <w:tc>
          <w:tcPr>
            <w:tcW w:type="dxa" w:w="4535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Valore / Logica</w:t>
            </w:r>
          </w:p>
        </w:tc>
        <w:tc>
          <w:tcPr>
            <w:tcW w:type="dxa" w:w="2268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26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Stadi pipeline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6 stadi: Nuovo, Preso in carico, Elaborazione proposta, Proposta inviata, Attesa documenti, Offerta accettata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Stadi standard modificati o creati ex novo</w:t>
            </w:r>
          </w:p>
        </w:tc>
      </w:tr>
      <w:tr>
        <w:tc>
          <w:tcPr>
            <w:tcW w:type="dxa" w:w="2268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Tipologia opportunità</w:t>
            </w:r>
          </w:p>
        </w:tc>
        <w:tc>
          <w:tcPr>
            <w:tcW w:type="dxa" w:w="4535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Campo selezione obbligatorio: RS / TMB / Discarica</w:t>
            </w:r>
          </w:p>
        </w:tc>
        <w:tc>
          <w:tcPr>
            <w:tcW w:type="dxa" w:w="2268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Blocca avanzamento se non impostato</w:t>
            </w:r>
          </w:p>
        </w:tc>
      </w:tr>
      <w:tr>
        <w:tc>
          <w:tcPr>
            <w:tcW w:type="dxa" w:w="226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Referente Commerciale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Campo dedicato, distinto dall'assegnatario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Non cambia durante il ciclo di vita dell'opportunità</w:t>
            </w:r>
          </w:p>
        </w:tc>
      </w:tr>
      <w:tr>
        <w:tc>
          <w:tcPr>
            <w:tcW w:type="dxa" w:w="2268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Blocchi di transizione</w:t>
            </w:r>
          </w:p>
        </w:tc>
        <w:tc>
          <w:tcPr>
            <w:tcW w:type="dxa" w:w="4535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Regole di avanzamento con validazioni per stadio</w:t>
            </w:r>
          </w:p>
        </w:tc>
        <w:tc>
          <w:tcPr>
            <w:tcW w:type="dxa" w:w="2268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Es. 4 campi RS obbligatori per «Elaborazione proposta»</w:t>
            </w:r>
          </w:p>
        </w:tc>
      </w:tr>
    </w:tbl>
    <w:p/>
    <w:p>
      <w:pPr>
        <w:keepNext/>
        <w:spacing w:before="280" w:after="80"/>
      </w:pPr>
      <w:r>
        <w:rPr>
          <w:rFonts w:ascii="Archivo" w:hAnsi="Archivo" w:cs="Archivo"/>
          <w:b/>
          <w:i w:val="0"/>
          <w:color w:val="231C1D"/>
          <w:sz w:val="28"/>
        </w:rPr>
        <w:t>4.2 Offerte — Parametri Aziendali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Parametro</w:t>
            </w:r>
          </w:p>
        </w:tc>
        <w:tc>
          <w:tcPr>
            <w:tcW w:type="dxa" w:w="2835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Valore di default</w:t>
            </w:r>
          </w:p>
        </w:tc>
        <w:tc>
          <w:tcPr>
            <w:tcW w:type="dxa" w:w="3685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55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Ricarico cliente default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+20% sul costo fornitore</w:t>
            </w:r>
          </w:p>
        </w:tc>
        <w:tc>
          <w:tcPr>
            <w:tcW w:type="dxa" w:w="368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Modificabile manualmente sulla singola riga</w:t>
            </w:r>
          </w:p>
        </w:tc>
      </w:tr>
      <w:tr>
        <w:tc>
          <w:tcPr>
            <w:tcW w:type="dxa" w:w="2551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Ricarico minimo / massimo</w:t>
            </w:r>
          </w:p>
        </w:tc>
        <w:tc>
          <w:tcPr>
            <w:tcW w:type="dxa" w:w="2835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15%–20%</w:t>
            </w:r>
          </w:p>
        </w:tc>
        <w:tc>
          <w:tcPr>
            <w:tcW w:type="dxa" w:w="3685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 titolo indicativo; nessun blocco automatico</w:t>
            </w:r>
          </w:p>
        </w:tc>
      </w:tr>
      <w:tr>
        <w:tc>
          <w:tcPr>
            <w:tcW w:type="dxa" w:w="255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Firma offerte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Firma digitale Odoo Sign</w:t>
            </w:r>
          </w:p>
        </w:tc>
        <w:tc>
          <w:tcPr>
            <w:tcW w:type="dxa" w:w="368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Possibilità firma manuale come alternativa</w:t>
            </w:r>
          </w:p>
        </w:tc>
      </w:tr>
      <w:tr>
        <w:tc>
          <w:tcPr>
            <w:tcW w:type="dxa" w:w="2551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Font PDF</w:t>
            </w:r>
          </w:p>
        </w:tc>
        <w:tc>
          <w:tcPr>
            <w:tcW w:type="dxa" w:w="2835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Carlito (compatibile Calibri Light, licenza Apache 2.0)</w:t>
            </w:r>
          </w:p>
        </w:tc>
        <w:tc>
          <w:tcPr>
            <w:tcW w:type="dxa" w:w="3685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Applicato ai template di stampa</w:t>
            </w:r>
          </w:p>
        </w:tc>
      </w:tr>
      <w:tr>
        <w:tc>
          <w:tcPr>
            <w:tcW w:type="dxa" w:w="255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Lingua UI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Italiano</w:t>
            </w:r>
          </w:p>
        </w:tc>
        <w:tc>
          <w:tcPr>
            <w:tcW w:type="dxa" w:w="368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—</w:t>
            </w:r>
          </w:p>
        </w:tc>
      </w:tr>
      <w:tr>
        <w:tc>
          <w:tcPr>
            <w:tcW w:type="dxa" w:w="2551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Saluto PDF</w:t>
            </w:r>
          </w:p>
        </w:tc>
        <w:tc>
          <w:tcPr>
            <w:tcW w:type="dxa" w:w="2835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«Egregio» (persona fisica) / «Spett.le» (azienda)</w:t>
            </w:r>
          </w:p>
        </w:tc>
        <w:tc>
          <w:tcPr>
            <w:tcW w:type="dxa" w:w="3685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Determinato automaticamente dal codice fiscale</w:t>
            </w:r>
          </w:p>
        </w:tc>
      </w:tr>
    </w:tbl>
    <w:p/>
    <w:p>
      <w:pPr>
        <w:keepNext/>
        <w:spacing w:before="280" w:after="80"/>
      </w:pPr>
      <w:r>
        <w:rPr>
          <w:rFonts w:ascii="Archivo" w:hAnsi="Archivo" w:cs="Archivo"/>
          <w:b/>
          <w:i w:val="0"/>
          <w:color w:val="231C1D"/>
          <w:sz w:val="28"/>
        </w:rPr>
        <w:t>4.3 Listini e Prodotti CER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Voce</w:t>
            </w:r>
          </w:p>
        </w:tc>
        <w:tc>
          <w:tcPr>
            <w:tcW w:type="dxa" w:w="4535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Configurazione</w:t>
            </w:r>
          </w:p>
        </w:tc>
        <w:tc>
          <w:tcPr>
            <w:tcW w:type="dxa" w:w="2268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26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Scadenza listini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Annuale (31/12) o semestrale (30/06)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Inserita su ogni riga di listino fornitore</w:t>
            </w:r>
          </w:p>
        </w:tc>
      </w:tr>
      <w:tr>
        <w:tc>
          <w:tcPr>
            <w:tcW w:type="dxa" w:w="2268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Minimo fatturabile</w:t>
            </w:r>
          </w:p>
        </w:tc>
        <w:tc>
          <w:tcPr>
            <w:tcW w:type="dxa" w:w="4535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Due tipologie: per singola riga CER/formulario o cumulativo totale offerta</w:t>
            </w:r>
          </w:p>
        </w:tc>
        <w:tc>
          <w:tcPr>
            <w:tcW w:type="dxa" w:w="2268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Campo libero, non calcolato automaticamente</w:t>
            </w:r>
          </w:p>
        </w:tc>
      </w:tr>
      <w:tr>
        <w:tc>
          <w:tcPr>
            <w:tcW w:type="dxa" w:w="226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Trasporto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Ragno (riga singola per CER) o Furgone (riga cumulativa)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Aggiunto manualmente come riga separata</w:t>
            </w:r>
          </w:p>
        </w:tc>
      </w:tr>
      <w:tr>
        <w:tc>
          <w:tcPr>
            <w:tcW w:type="dxa" w:w="2268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Dati sensibili</w:t>
            </w:r>
          </w:p>
        </w:tc>
        <w:tc>
          <w:tcPr>
            <w:tcW w:type="dxa" w:w="4535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Flag «Contiene dati sensibili» su riga CER offerta</w:t>
            </w:r>
          </w:p>
        </w:tc>
        <w:tc>
          <w:tcPr>
            <w:tcW w:type="dxa" w:w="2268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Nascosto nella stampa cliente</w:t>
            </w:r>
          </w:p>
        </w:tc>
      </w:tr>
    </w:tbl>
    <w:p/>
    <w:p>
      <w:pPr>
        <w:keepNext/>
        <w:spacing w:before="280" w:after="80"/>
      </w:pPr>
      <w:r>
        <w:rPr>
          <w:rFonts w:ascii="Archivo" w:hAnsi="Archivo" w:cs="Archivo"/>
          <w:b/>
          <w:i w:val="0"/>
          <w:color w:val="231C1D"/>
          <w:sz w:val="28"/>
        </w:rPr>
        <w:t>4.4 Template Email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3118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Trigger</w:t>
            </w:r>
          </w:p>
        </w:tc>
        <w:tc>
          <w:tcPr>
            <w:tcW w:type="dxa" w:w="3402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Destinatario</w:t>
            </w:r>
          </w:p>
        </w:tc>
      </w:tr>
      <w:tr>
        <w:tc>
          <w:tcPr>
            <w:tcW w:type="dxa" w:w="255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Offerta in approvazione</w:t>
            </w:r>
          </w:p>
        </w:tc>
        <w:tc>
          <w:tcPr>
            <w:tcW w:type="dxa" w:w="311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Invio per approvazione da parte del commerciale</w:t>
            </w:r>
          </w:p>
        </w:tc>
        <w:tc>
          <w:tcPr>
            <w:tcW w:type="dxa" w:w="3402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Andrea Bassoli</w:t>
            </w:r>
          </w:p>
        </w:tc>
      </w:tr>
      <w:tr>
        <w:tc>
          <w:tcPr>
            <w:tcW w:type="dxa" w:w="2551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Contratto da firmare</w:t>
            </w:r>
          </w:p>
        </w:tc>
        <w:tc>
          <w:tcPr>
            <w:tcW w:type="dxa" w:w="3118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Avvio firma digitale</w:t>
            </w:r>
          </w:p>
        </w:tc>
        <w:tc>
          <w:tcPr>
            <w:tcW w:type="dxa" w:w="3402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Referente cliente</w:t>
            </w:r>
          </w:p>
        </w:tc>
      </w:tr>
      <w:tr>
        <w:tc>
          <w:tcPr>
            <w:tcW w:type="dxa" w:w="255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Contratto accettato</w:t>
            </w:r>
          </w:p>
        </w:tc>
        <w:tc>
          <w:tcPr>
            <w:tcW w:type="dxa" w:w="311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Accettazione firma digitale</w:t>
            </w:r>
          </w:p>
        </w:tc>
        <w:tc>
          <w:tcPr>
            <w:tcW w:type="dxa" w:w="3402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Claudia Grazioli + Noemi Menegazzo</w:t>
            </w:r>
          </w:p>
        </w:tc>
      </w:tr>
      <w:tr>
        <w:tc>
          <w:tcPr>
            <w:tcW w:type="dxa" w:w="2551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Allegati informativi</w:t>
            </w:r>
          </w:p>
        </w:tc>
        <w:tc>
          <w:tcPr>
            <w:tcW w:type="dxa" w:w="3118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Invio manuale post-firma</w:t>
            </w:r>
          </w:p>
        </w:tc>
        <w:tc>
          <w:tcPr>
            <w:tcW w:type="dxa" w:w="3402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Referente cliente</w:t>
            </w:r>
          </w:p>
        </w:tc>
      </w:tr>
      <w:tr>
        <w:tc>
          <w:tcPr>
            <w:tcW w:type="dxa" w:w="255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Reminder approvazione</w:t>
            </w:r>
          </w:p>
        </w:tc>
        <w:tc>
          <w:tcPr>
            <w:tcW w:type="dxa" w:w="311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Cron giornaliero — offerte in approvazione senza risposta</w:t>
            </w:r>
          </w:p>
        </w:tc>
        <w:tc>
          <w:tcPr>
            <w:tcW w:type="dxa" w:w="3402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Andrea Bassoli</w:t>
            </w:r>
          </w:p>
        </w:tc>
      </w:tr>
    </w:tbl>
    <w:p/>
    <w:p>
      <w:pPr>
        <w:keepNext/>
        <w:spacing w:before="280" w:after="80"/>
      </w:pPr>
      <w:r>
        <w:rPr>
          <w:rFonts w:ascii="Archivo" w:hAnsi="Archivo" w:cs="Archivo"/>
          <w:b/>
          <w:i w:val="0"/>
          <w:color w:val="231C1D"/>
          <w:sz w:val="28"/>
        </w:rPr>
        <w:t>4.5 Dati Iniziali (Import)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Al momento del go-live vengono importati i seguenti dati di base: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Entità</w:t>
            </w:r>
          </w:p>
        </w:tc>
        <w:tc>
          <w:tcPr>
            <w:tcW w:type="dxa" w:w="1417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Volume</w:t>
            </w:r>
          </w:p>
        </w:tc>
        <w:tc>
          <w:tcPr>
            <w:tcW w:type="dxa" w:w="5102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Fonte</w:t>
            </w:r>
          </w:p>
        </w:tc>
      </w:tr>
      <w:tr>
        <w:tc>
          <w:tcPr>
            <w:tcW w:type="dxa" w:w="255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Codici CER</w:t>
            </w:r>
          </w:p>
        </w:tc>
        <w:tc>
          <w:tcPr>
            <w:tcW w:type="dxa" w:w="141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115 codici</w:t>
            </w:r>
          </w:p>
        </w:tc>
        <w:tc>
          <w:tcPr>
            <w:tcW w:type="dxa" w:w="5102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Excel fornito da TEA</w:t>
            </w:r>
          </w:p>
        </w:tc>
      </w:tr>
      <w:tr>
        <w:tc>
          <w:tcPr>
            <w:tcW w:type="dxa" w:w="2551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Classificazioni HP</w:t>
            </w:r>
          </w:p>
        </w:tc>
        <w:tc>
          <w:tcPr>
            <w:tcW w:type="dxa" w:w="1417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11 codici</w:t>
            </w:r>
          </w:p>
        </w:tc>
        <w:tc>
          <w:tcPr>
            <w:tcW w:type="dxa" w:w="5102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Normativa europea</w:t>
            </w:r>
          </w:p>
        </w:tc>
      </w:tr>
      <w:tr>
        <w:tc>
          <w:tcPr>
            <w:tcW w:type="dxa" w:w="255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Operazioni R/D</w:t>
            </w:r>
          </w:p>
        </w:tc>
        <w:tc>
          <w:tcPr>
            <w:tcW w:type="dxa" w:w="141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12 operazioni</w:t>
            </w:r>
          </w:p>
        </w:tc>
        <w:tc>
          <w:tcPr>
            <w:tcW w:type="dxa" w:w="5102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Normativa europea</w:t>
            </w:r>
          </w:p>
        </w:tc>
      </w:tr>
      <w:tr>
        <w:tc>
          <w:tcPr>
            <w:tcW w:type="dxa" w:w="2551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Impianti di trattamento</w:t>
            </w:r>
          </w:p>
        </w:tc>
        <w:tc>
          <w:tcPr>
            <w:tcW w:type="dxa" w:w="1417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63 impianti</w:t>
            </w:r>
          </w:p>
        </w:tc>
        <w:tc>
          <w:tcPr>
            <w:tcW w:type="dxa" w:w="5102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Excel fornito da TEA</w:t>
            </w:r>
          </w:p>
        </w:tc>
      </w:tr>
      <w:tr>
        <w:tc>
          <w:tcPr>
            <w:tcW w:type="dxa" w:w="255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Prodotti CER (varianti)</w:t>
            </w:r>
          </w:p>
        </w:tc>
        <w:tc>
          <w:tcPr>
            <w:tcW w:type="dxa" w:w="141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139 prodotti</w:t>
            </w:r>
          </w:p>
        </w:tc>
        <w:tc>
          <w:tcPr>
            <w:tcW w:type="dxa" w:w="5102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Derivato da catalogo CER</w:t>
            </w:r>
          </w:p>
        </w:tc>
      </w:tr>
      <w:tr>
        <w:tc>
          <w:tcPr>
            <w:tcW w:type="dxa" w:w="2551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Righe listino fornitore</w:t>
            </w:r>
          </w:p>
        </w:tc>
        <w:tc>
          <w:tcPr>
            <w:tcW w:type="dxa" w:w="1417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268 righe</w:t>
            </w:r>
          </w:p>
        </w:tc>
        <w:tc>
          <w:tcPr>
            <w:tcW w:type="dxa" w:w="5102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Excel listini TEA</w:t>
            </w:r>
          </w:p>
        </w:tc>
      </w:tr>
      <w:tr>
        <w:tc>
          <w:tcPr>
            <w:tcW w:type="dxa" w:w="255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Clienti attivi</w:t>
            </w:r>
          </w:p>
        </w:tc>
        <w:tc>
          <w:tcPr>
            <w:tcW w:type="dxa" w:w="141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~500 clienti</w:t>
            </w:r>
          </w:p>
        </w:tc>
        <w:tc>
          <w:tcPr>
            <w:tcW w:type="dxa" w:w="5102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Export da VMS TEA</w:t>
            </w:r>
          </w:p>
        </w:tc>
      </w:tr>
    </w:tbl>
    <w:p/>
    <w:p>
      <w:r>
        <w:br w:type="page"/>
      </w:r>
    </w:p>
    <w:p>
      <w:pPr>
        <w:keepNext/>
        <w:spacing w:before="400" w:after="120"/>
      </w:pPr>
      <w:r>
        <w:rPr>
          <w:rFonts w:ascii="Archivo" w:hAnsi="Archivo" w:cs="Archivo"/>
          <w:b/>
          <w:i w:val="0"/>
          <w:color w:val="248B7E"/>
          <w:sz w:val="40"/>
        </w:rPr>
        <w:t>5. Open Points</w:t>
      </w:r>
    </w:p>
    <w:p>
      <w:pPr>
        <w:spacing w:before="0" w:after="120"/>
      </w:pPr>
      <w:r>
        <w:rPr>
          <w:rFonts w:ascii="Archivo" w:hAnsi="Archivo" w:cs="Archivo"/>
          <w:b w:val="0"/>
          <w:i w:val="0"/>
          <w:color w:val="231C1D"/>
          <w:sz w:val="22"/>
        </w:rPr>
        <w:t>La tabella seguente raccoglie le questioni aperte, le decisioni in sospeso e le informazioni ancora da confermare.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685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Descrizione</w:t>
            </w:r>
          </w:p>
        </w:tc>
        <w:tc>
          <w:tcPr>
            <w:tcW w:type="dxa" w:w="2268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Responsabile</w:t>
            </w:r>
          </w:p>
        </w:tc>
        <w:tc>
          <w:tcPr>
            <w:tcW w:type="dxa" w:w="1417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Data limite</w:t>
            </w:r>
          </w:p>
        </w:tc>
        <w:tc>
          <w:tcPr>
            <w:tcW w:type="dxa" w:w="1134"/>
            <w:shd w:val="clear" w:color="auto" w:fill="248B7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/>
                <w:i w:val="0"/>
                <w:color w:val="FFFFFF"/>
                <w:sz w:val="20"/>
              </w:rPr>
              <w:t>Stato</w:t>
            </w:r>
          </w:p>
        </w:tc>
      </w:tr>
      <w:tr>
        <w:tc>
          <w:tcPr>
            <w:tcW w:type="dxa" w:w="8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OP-001</w:t>
            </w:r>
          </w:p>
        </w:tc>
        <w:tc>
          <w:tcPr>
            <w:tcW w:type="dxa" w:w="368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Filtri ricerca opportunità per zona/provincia: definire se implementare filtri geografici avanzati nel CRM (es. filtrare opportunità per area di provenienza del cliente).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TEA — Andrea Bassoli / Avvale — Mattia Ferravante</w:t>
            </w:r>
          </w:p>
        </w:tc>
        <w:tc>
          <w:tcPr>
            <w:tcW w:type="dxa" w:w="141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Da definire</w:t>
            </w:r>
          </w:p>
        </w:tc>
        <w:tc>
          <w:tcPr>
            <w:tcW w:type="dxa" w:w="1134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Aperto</w:t>
            </w:r>
          </w:p>
        </w:tc>
      </w:tr>
      <w:tr>
        <w:tc>
          <w:tcPr>
            <w:tcW w:type="dxa" w:w="850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OP-002</w:t>
            </w:r>
          </w:p>
        </w:tc>
        <w:tc>
          <w:tcPr>
            <w:tcW w:type="dxa" w:w="3685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Definizione URL ambienti Odoo.sh: produzione e staging da comunicare al team.</w:t>
            </w:r>
          </w:p>
        </w:tc>
        <w:tc>
          <w:tcPr>
            <w:tcW w:type="dxa" w:w="2268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Avvale — Michele Calvani</w:t>
            </w:r>
          </w:p>
        </w:tc>
        <w:tc>
          <w:tcPr>
            <w:tcW w:type="dxa" w:w="1417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Da definire</w:t>
            </w:r>
          </w:p>
        </w:tc>
        <w:tc>
          <w:tcPr>
            <w:tcW w:type="dxa" w:w="1134"/>
            <w:shd w:val="clear" w:color="auto" w:fill="F5F5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Archivo" w:hAnsi="Archivo" w:cs="Archivo"/>
                <w:b w:val="0"/>
                <w:i w:val="0"/>
                <w:color w:val="231C1D"/>
                <w:sz w:val="20"/>
              </w:rPr>
              <w:t>Aperto</w:t>
            </w:r>
          </w:p>
        </w:tc>
      </w:tr>
    </w:tbl>
    <w:p/>
    <w:p/>
    <w:p>
      <w:pPr>
        <w:jc w:val="center"/>
      </w:pPr>
      <w:r>
        <w:rPr>
          <w:rFonts w:ascii="Archivo" w:hAnsi="Archivo" w:cs="Archivo"/>
          <w:i/>
          <w:color w:val="6E6566"/>
          <w:sz w:val="20"/>
        </w:rPr>
        <w:t>— Fine documento —</w:t>
      </w:r>
    </w:p>
    <w:sectPr w:rsidR="00FC693F" w:rsidRPr="0006063C" w:rsidSect="00034616"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chivo" w:hAnsi="Archivo" w:cs="Archivo"/>
        <w:color w:val="6E6566"/>
        <w:sz w:val="18"/>
      </w:rPr>
      <w:t xml:space="preserve">TEA A&amp;E – CRM Gestione Offerte e Contratti – Rev. 02.0  |  Pag. </w:t>
    </w:r>
    <w:r>
      <w:rPr>
        <w:rFonts w:ascii="Archivo" w:hAnsi="Archivo" w:cs="Archivo"/>
        <w:color w:val="6E6566"/>
        <w:sz w:val="18"/>
      </w:rPr>
      <w:fldChar w:fldCharType="begin"/>
      <w:instrText xml:space="preserve"> PAGE </w:instrText>
      <w:fldChar w:fldCharType="end"/>
    </w:r>
    <w:r>
      <w:rPr>
        <w:rFonts w:ascii="Archivo" w:hAnsi="Archivo" w:cs="Archivo"/>
        <w:color w:val="6E6566"/>
        <w:sz w:val="18"/>
      </w:rPr>
      <w:t xml:space="preserve">  |  © 2026 Avvale S.p.A. —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E5E5E5"/>
      </w:pBdr>
    </w:pPr>
    <w:r>
      <w:rPr>
        <w:rFonts w:ascii="Archivo" w:hAnsi="Archivo" w:cs="Archivo"/>
      </w:rPr>
      <w:drawing>
        <wp:inline xmlns:a="http://schemas.openxmlformats.org/drawingml/2006/main" xmlns:pic="http://schemas.openxmlformats.org/drawingml/2006/picture">
          <wp:extent cx="1252487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po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2487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chivo" w:hAnsi="Archivo"/>
      <w:color w:val="231C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