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ÄRIRUUMIDE ÜÜRILEPING</w:t>
      </w:r>
    </w:p>
    <w:p>
      <w:r>
        <w:t>Üürileandja: Näidise Kinnisvara OÜ, registrikood 12345678, Näidise tee 1, Tallinn (edaspidi Üürileandja)</w:t>
      </w:r>
    </w:p>
    <w:p>
      <w:r>
        <w:t>Üürnik: [ettevõtte nimi], registrikood [kood] (edaspidi Üürnik)</w:t>
      </w:r>
    </w:p>
    <w:p>
      <w:r>
        <w:t>ERITINGIMUSED</w:t>
      </w:r>
    </w:p>
    <w:p>
      <w:r>
        <w:t>1. Üüripind: [pinna nimi], [m²] m², Lisa 1.  2. Üür: [€/m²] eurot ruutmeetri kohta kuus.  3. Tähtaeg: [algus] – [lõpp].</w:t>
      </w:r>
    </w:p>
    <w:p>
      <w:r>
        <w:t>Eritingimused on nummerdamata tekstina, et need ei satuks üldtingimuste puusse.</w:t>
      </w:r>
    </w:p>
    <w:p>
      <w:r>
        <w:rPr>
          <w:b/>
          <w:sz w:val="28"/>
        </w:rPr>
        <w:t>ÜLDTINGIMUSED</w:t>
      </w:r>
    </w:p>
    <w:p>
      <w:r>
        <w:t>1. MÕISTED</w:t>
      </w:r>
    </w:p>
    <w:p>
      <w:r>
        <w:t>1.1 Üürileandja on Lepingu Eritingimustes nimetatud isik, kellele kuulub Üüripind või kellel on õigus seda välja üürida.</w:t>
      </w:r>
    </w:p>
    <w:p>
      <w:r>
        <w:t>1.2 Üürnik on Lepingu Eritingimustes nimetatud isik, kes võtab Üüripinna kasutusse Lepingus sätestatud tingimustel.</w:t>
      </w:r>
    </w:p>
    <w:p>
      <w:r>
        <w:t>1.3 Üüripind on Eritingimustes kirjeldatud ja Lisas 1 toodud plaanil märgitud ruumid koos nende juurde kuuluvate parkimiskohtadega (Lisa 2).</w:t>
      </w:r>
    </w:p>
    <w:p>
      <w:r>
        <w:t>1.4 Üldtingimused on käesolevad tingimused, mida kohaldatakse kõigile Üürileandja sõlmitud äriruumide üürilepingutele, kui Eritingimustes ei ole kokku lepitud teisiti.</w:t>
      </w:r>
    </w:p>
    <w:p>
      <w:r>
        <w:t>2. LEPINGU ESE</w:t>
      </w:r>
    </w:p>
    <w:p>
      <w:r>
        <w:t>2.1 Üürileandja annab Üürnikule Üüripinna kasutusse Eritingimustes nimetatud otstarbel ja tähtajaks.</w:t>
      </w:r>
    </w:p>
    <w:p>
      <w:r>
        <w:t>2.2 Üüripind antakse üle üleandmis-vastuvõtmisaktiga, milles fikseeritakse Üüripinna seisukord, mõõdikute näidud ja võtmete arv.</w:t>
      </w:r>
    </w:p>
    <w:p>
      <w:r>
        <w:t>2.2.1 Akti allkirjastamisega kinnitab Üürnik, et Üüripind vastab Lepingule ja on kasutuskõlblik.</w:t>
      </w:r>
    </w:p>
    <w:p>
      <w:r>
        <w:t>2.2.2 Aktis märkimata puudustele ei saa Üürnik hiljem tugineda, välja arvatud varjatud puudused.</w:t>
      </w:r>
    </w:p>
    <w:p>
      <w:r>
        <w:t>2.3 Üürnik ei või Üüripinda ega selle osa allüürile anda ega kolmandate isikute kasutusse anda ilma Üürileandja eelneva kirjaliku nõusolekuta.</w:t>
      </w:r>
    </w:p>
    <w:p>
      <w:r>
        <w:t>3. ÜÜR JA KÕRVALKULUD</w:t>
      </w:r>
    </w:p>
    <w:p>
      <w:r>
        <w:t>3.1 Üüri suurus, arvestusühik ja maksetähtaeg on sätestatud Eritingimustes. Üürile lisandub käibemaks seaduses sätestatud määras.</w:t>
      </w:r>
    </w:p>
    <w:p>
      <w:r>
        <w:t>3.2 Kõrvalkulud (küte, vesi, elekter, prügivedu, üldelekter ja hoone haldus) tasub Üürnik vastavalt tegelikule tarbimisele või Eritingimustes kokku lepitud ühikuhinnale ruutmeetri kohta.</w:t>
      </w:r>
    </w:p>
    <w:p>
      <w:r>
        <w:t>3.3 Üüri korrigeeritakse üks kord aastas tarbijahinnaindeksi muutuse võrra, kui Eritingimustes ei ole kokku lepitud teisiti. Üür ei vähene, kui indeks on negatiivne.</w:t>
      </w:r>
    </w:p>
    <w:p>
      <w:r>
        <w:t>3.4 Maksetega viivitamisel on Üürileandjal õigus nõuda viivist 0,05% tasumata summalt iga viivitatud päeva eest.</w:t>
      </w:r>
    </w:p>
    <w:p/>
    <w:p>
      <w:r>
        <w:t>Poolte allkirjad: ______________________  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