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pPr>
      <w:r>
        <w:rPr>
          <w:rFonts w:ascii="Arial" w:cs="Arial" w:eastAsia="Arial" w:hAnsi="Arial"/>
          <w:b/>
          <w:bCs/>
          <w:color w:val="2E6FDB"/>
          <w:spacing w:val="40"/>
          <w:sz w:val="24"/>
          <w:szCs w:val="24"/>
        </w:rPr>
        <w:t xml:space="preserve">Product Requirements Document</w:t>
      </w:r>
    </w:p>
    <w:p>
      <w:pPr>
        <w:spacing w:after="240" w:before="0"/>
      </w:pPr>
      <w:r>
        <w:rPr>
          <w:rFonts w:ascii="Arial" w:cs="Arial" w:eastAsia="Arial" w:hAnsi="Arial"/>
          <w:b/>
          <w:bCs/>
          <w:color w:val="1E3A5F"/>
          <w:sz w:val="56"/>
          <w:szCs w:val="56"/>
        </w:rPr>
        <w:t xml:space="preserve">AI-Powered Financial Insights Dashboard</w:t>
      </w:r>
    </w:p>
    <w:p>
      <w:pPr>
        <w:spacing w:after="480" w:before="0"/>
      </w:pPr>
      <w:r>
        <w:rPr>
          <w:rFonts w:ascii="Arial" w:cs="Arial" w:eastAsia="Arial" w:hAnsi="Arial"/>
          <w:color w:val="6B7280"/>
          <w:sz w:val="26"/>
          <w:szCs w:val="26"/>
        </w:rPr>
        <w:t xml:space="preserve">Backbase  |  Financial Wellness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FF4FB" w:val="clear"/>
            <w:tcMar>
              <w:top w:type="dxa" w:w="100"/>
              <w:left w:type="dxa" w:w="160"/>
              <w:bottom w:type="dxa" w:w="100"/>
              <w:right w:type="dxa" w:w="160"/>
            </w:tcMar>
          </w:tcPr>
          <w:p>
            <w:r>
              <w:rPr>
                <w:rFonts w:ascii="Arial" w:cs="Arial" w:eastAsia="Arial" w:hAnsi="Arial"/>
                <w:b/>
                <w:bCs/>
                <w:color w:val="1E3A5F"/>
                <w:sz w:val="20"/>
                <w:szCs w:val="20"/>
              </w:rPr>
              <w:t xml:space="preserve">Version: </w:t>
            </w:r>
            <w:r>
              <w:rPr>
                <w:rFonts w:ascii="Arial" w:cs="Arial" w:eastAsia="Arial" w:hAnsi="Arial"/>
                <w:color w:val="111111"/>
                <w:sz w:val="20"/>
                <w:szCs w:val="20"/>
              </w:rPr>
              <w:t xml:space="preserve">1.0</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Status: </w:t>
            </w:r>
            <w:r>
              <w:rPr>
                <w:rFonts w:ascii="Arial" w:cs="Arial" w:eastAsia="Arial" w:hAnsi="Arial"/>
                <w:color w:val="111111"/>
                <w:sz w:val="20"/>
                <w:szCs w:val="20"/>
              </w:rPr>
              <w:t xml:space="preserve">Draft — Research Validated</w:t>
            </w:r>
          </w:p>
        </w:tc>
      </w:tr>
      <w:tr>
        <w:tc>
          <w:tcPr>
            <w:tcW w:type="dxa" w:w="2200"/>
            <w:tcBorders>
              <w:top w:val="single" w:color="D1D5DB" w:sz="1"/>
              <w:left w:val="single" w:color="D1D5DB" w:sz="1"/>
              <w:bottom w:val="single" w:color="D1D5DB" w:sz="1"/>
              <w:right w:val="single" w:color="D1D5DB" w:sz="1"/>
            </w:tcBorders>
            <w:shd w:fill="EFF4FB" w:val="clear"/>
            <w:tcMar>
              <w:top w:type="dxa" w:w="100"/>
              <w:left w:type="dxa" w:w="160"/>
              <w:bottom w:type="dxa" w:w="100"/>
              <w:right w:type="dxa" w:w="160"/>
            </w:tcMar>
          </w:tcPr>
          <w:p>
            <w:r>
              <w:rPr>
                <w:rFonts w:ascii="Arial" w:cs="Arial" w:eastAsia="Arial" w:hAnsi="Arial"/>
                <w:b/>
                <w:bCs/>
                <w:color w:val="1E3A5F"/>
                <w:sz w:val="20"/>
                <w:szCs w:val="20"/>
              </w:rPr>
              <w:t xml:space="preserve">Author: </w:t>
            </w:r>
            <w:r>
              <w:rPr>
                <w:rFonts w:ascii="Arial" w:cs="Arial" w:eastAsia="Arial" w:hAnsi="Arial"/>
                <w:color w:val="111111"/>
                <w:sz w:val="20"/>
                <w:szCs w:val="20"/>
              </w:rPr>
              <w:t xml:space="preserve">Matti Hicks</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Date: </w:t>
            </w:r>
            <w:r>
              <w:rPr>
                <w:rFonts w:ascii="Arial" w:cs="Arial" w:eastAsia="Arial" w:hAnsi="Arial"/>
                <w:color w:val="111111"/>
                <w:sz w:val="20"/>
                <w:szCs w:val="20"/>
              </w:rPr>
              <w:t xml:space="preserve">May 2026</w:t>
            </w:r>
          </w:p>
        </w:tc>
      </w:tr>
      <w:tr>
        <w:tc>
          <w:tcPr>
            <w:tcW w:type="dxa" w:w="2200"/>
            <w:tcBorders>
              <w:top w:val="single" w:color="D1D5DB" w:sz="1"/>
              <w:left w:val="single" w:color="D1D5DB" w:sz="1"/>
              <w:bottom w:val="single" w:color="D1D5DB" w:sz="1"/>
              <w:right w:val="single" w:color="D1D5DB" w:sz="1"/>
            </w:tcBorders>
            <w:shd w:fill="EFF4FB" w:val="clear"/>
            <w:tcMar>
              <w:top w:type="dxa" w:w="100"/>
              <w:left w:type="dxa" w:w="160"/>
              <w:bottom w:type="dxa" w:w="100"/>
              <w:right w:type="dxa" w:w="160"/>
            </w:tcMar>
          </w:tcPr>
          <w:p>
            <w:r>
              <w:rPr>
                <w:rFonts w:ascii="Arial" w:cs="Arial" w:eastAsia="Arial" w:hAnsi="Arial"/>
                <w:b/>
                <w:bCs/>
                <w:color w:val="1E3A5F"/>
                <w:sz w:val="20"/>
                <w:szCs w:val="20"/>
              </w:rPr>
              <w:t xml:space="preserve">Platform: </w:t>
            </w:r>
            <w:r>
              <w:rPr>
                <w:rFonts w:ascii="Arial" w:cs="Arial" w:eastAsia="Arial" w:hAnsi="Arial"/>
                <w:color w:val="111111"/>
                <w:sz w:val="20"/>
                <w:szCs w:val="20"/>
              </w:rPr>
              <w:t xml:space="preserve">Web (desktop primary, mobile adaptation planned)</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Research rounds: </w:t>
            </w:r>
            <w:r>
              <w:rPr>
                <w:rFonts w:ascii="Arial" w:cs="Arial" w:eastAsia="Arial" w:hAnsi="Arial"/>
                <w:color w:val="111111"/>
                <w:sz w:val="20"/>
                <w:szCs w:val="20"/>
              </w:rPr>
              <w:t xml:space="preserve">3 rounds  |  26 participants  |  UK</w:t>
            </w:r>
          </w:p>
        </w:tc>
      </w:tr>
    </w:tbl>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60"/>
              <w:left w:type="dxa" w:w="240"/>
              <w:bottom w:type="dxa" w:w="160"/>
              <w:right w:type="dxa" w:w="240"/>
            </w:tcMar>
          </w:tcPr>
          <w:p>
            <w:pPr>
              <w:spacing w:after="0" w:before="0"/>
            </w:pPr>
            <w:r>
              <w:rPr>
                <w:rFonts w:ascii="Arial" w:cs="Arial" w:eastAsia="Arial" w:hAnsi="Arial"/>
                <w:color w:val="1E3A5F"/>
                <w:sz w:val="22"/>
                <w:szCs w:val="22"/>
              </w:rPr>
              <w:t xml:space="preserve">This document defines the product requirements for the AI-powered Financial Insights Dashboard. It draws directly from three rounds of user research (26 participants) and is intended for product, design, and engineering teams — and as a portfolio reference for interviews demonstrating senior product design thinking.</w:t>
            </w:r>
          </w:p>
        </w:tc>
      </w:tr>
    </w:tbl>
    <w:p>
      <w:pPr>
        <w:pStyle w:val="Heading1"/>
        <w:pageBreakBefore/>
        <w:pBdr>
          <w:bottom w:val="single" w:color="2E6FDB" w:sz="6" w:space="6"/>
        </w:pBdr>
        <w:spacing w:after="200" w:before="0"/>
      </w:pPr>
      <w:r>
        <w:rPr>
          <w:rFonts w:ascii="Arial" w:cs="Arial" w:eastAsia="Arial" w:hAnsi="Arial"/>
          <w:b/>
          <w:bCs/>
          <w:color w:val="1E3A5F"/>
        </w:rPr>
        <w:t xml:space="preserve">1. Executive Summary</w:t>
      </w:r>
    </w:p>
    <w:p>
      <w:pPr>
        <w:spacing w:after="100" w:before="60"/>
        <w:jc w:val="left"/>
      </w:pPr>
      <w:r>
        <w:rPr>
          <w:rFonts w:ascii="Arial" w:cs="Arial" w:eastAsia="Arial" w:hAnsi="Arial"/>
          <w:b w:val="false"/>
          <w:bCs w:val="false"/>
          <w:color w:val="111111"/>
          <w:sz w:val="22"/>
          <w:szCs w:val="22"/>
        </w:rPr>
        <w:t xml:space="preserve">The Financial Insights screen was a static ledger: it told users where their money had gone, not what they could safely do next. The core failure was a misleading 'available to spend' figure calculated from historical spending — not upcoming bills — causing users to routinely overestimate their discretionary budget.</w:t>
      </w:r>
    </w:p>
    <w:p>
      <w:pPr>
        <w:spacing w:after="0" w:before="80"/>
      </w:pPr>
    </w:p>
    <w:p>
      <w:pPr>
        <w:spacing w:after="100" w:before="60"/>
        <w:jc w:val="left"/>
      </w:pPr>
      <w:r>
        <w:rPr>
          <w:rFonts w:ascii="Arial" w:cs="Arial" w:eastAsia="Arial" w:hAnsi="Arial"/>
          <w:b w:val="false"/>
          <w:bCs w:val="false"/>
          <w:color w:val="111111"/>
          <w:sz w:val="22"/>
          <w:szCs w:val="22"/>
        </w:rPr>
        <w:t xml:space="preserve">This PRD defines the requirements for an AI-powered replacement: a proactive, personalised dashboard that translates transaction patterns into actionable guidance. Three rounds of iterative research validated the core concept and shaped every major design decision.</w:t>
      </w:r>
    </w:p>
    <w:p>
      <w:pPr>
        <w:spacing w:after="0" w:before="120"/>
      </w:pPr>
    </w:p>
    <w:p>
      <w:pPr>
        <w:pStyle w:val="Heading2"/>
        <w:spacing w:after="120" w:before="280"/>
      </w:pPr>
      <w:r>
        <w:rPr>
          <w:rFonts w:ascii="Arial" w:cs="Arial" w:eastAsia="Arial" w:hAnsi="Arial"/>
          <w:b/>
          <w:bCs/>
          <w:color w:val="1E3A5F"/>
        </w:rPr>
        <w:t xml:space="preserve">Validated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60"/>
              <w:left w:type="dxa" w:w="240"/>
              <w:bottom w:type="dxa" w:w="160"/>
              <w:right w:type="dxa" w:w="240"/>
            </w:tcMar>
          </w:tcPr>
          <w:p>
            <w:pPr>
              <w:spacing w:after="0" w:before="0"/>
            </w:pPr>
            <w:r>
              <w:rPr>
                <w:rFonts w:ascii="Arial" w:cs="Arial" w:eastAsia="Arial" w:hAnsi="Arial"/>
                <w:color w:val="1E3A5F"/>
                <w:sz w:val="22"/>
                <w:szCs w:val="22"/>
              </w:rPr>
              <w:t xml:space="preserve">90% of users preferred the final Hybrid design over a simpler Control across the final testing round. The 'Left to Spend' feature — calculating what's available after upcoming bills, not past spending — became the primary decision metric users reached for first.</w:t>
            </w:r>
          </w:p>
        </w:tc>
      </w:tr>
    </w:tbl>
    <w:p>
      <w:pPr>
        <w:spacing w:after="0" w:before="80"/>
      </w:pPr>
    </w:p>
    <w:p>
      <w:pPr>
        <w:pStyle w:val="Heading2"/>
        <w:spacing w:after="120" w:before="280"/>
      </w:pPr>
      <w:r>
        <w:rPr>
          <w:rFonts w:ascii="Arial" w:cs="Arial" w:eastAsia="Arial" w:hAnsi="Arial"/>
          <w:b/>
          <w:bCs/>
          <w:color w:val="1E3A5F"/>
        </w:rPr>
        <w:t xml:space="preserve">Strategic fit</w:t>
      </w:r>
    </w:p>
    <w:p>
      <w:pPr>
        <w:pStyle w:val="ListParagraph"/>
        <w:numPr>
          <w:ilvl w:val="0"/>
          <w:numId w:val="2"/>
        </w:numPr>
        <w:spacing w:after="60" w:before="40"/>
      </w:pPr>
      <w:r>
        <w:rPr>
          <w:rFonts w:ascii="Arial" w:cs="Arial" w:eastAsia="Arial" w:hAnsi="Arial"/>
          <w:color w:val="111111"/>
          <w:sz w:val="22"/>
          <w:szCs w:val="22"/>
        </w:rPr>
        <w:t xml:space="preserve">Differentiates the Backbase platform from commoditised banking apps that function as passive ledgers</w:t>
      </w:r>
    </w:p>
    <w:p>
      <w:pPr>
        <w:pStyle w:val="ListParagraph"/>
        <w:numPr>
          <w:ilvl w:val="0"/>
          <w:numId w:val="2"/>
        </w:numPr>
        <w:spacing w:after="60" w:before="40"/>
      </w:pPr>
      <w:r>
        <w:rPr>
          <w:rFonts w:ascii="Arial" w:cs="Arial" w:eastAsia="Arial" w:hAnsi="Arial"/>
          <w:color w:val="111111"/>
          <w:sz w:val="22"/>
          <w:szCs w:val="22"/>
        </w:rPr>
        <w:t xml:space="preserve">AI integration creates switching costs and supports premium-tier pricing conversations</w:t>
      </w:r>
    </w:p>
    <w:p>
      <w:pPr>
        <w:pStyle w:val="ListParagraph"/>
        <w:numPr>
          <w:ilvl w:val="0"/>
          <w:numId w:val="2"/>
        </w:numPr>
        <w:spacing w:after="60" w:before="40"/>
      </w:pPr>
      <w:r>
        <w:rPr>
          <w:rFonts w:ascii="Arial" w:cs="Arial" w:eastAsia="Arial" w:hAnsi="Arial"/>
          <w:color w:val="111111"/>
          <w:sz w:val="22"/>
          <w:szCs w:val="22"/>
        </w:rPr>
        <w:t xml:space="preserve">Research insights are informing a broader Financial Wellness product strategy (details under NDA)</w:t>
      </w:r>
    </w:p>
    <w:p>
      <w:pPr>
        <w:pStyle w:val="Heading1"/>
        <w:pageBreakBefore/>
        <w:pBdr>
          <w:bottom w:val="single" w:color="2E6FDB" w:sz="6" w:space="6"/>
        </w:pBdr>
        <w:spacing w:after="200" w:before="0"/>
      </w:pPr>
      <w:r>
        <w:rPr>
          <w:rFonts w:ascii="Arial" w:cs="Arial" w:eastAsia="Arial" w:hAnsi="Arial"/>
          <w:b/>
          <w:bCs/>
          <w:color w:val="1E3A5F"/>
        </w:rPr>
        <w:t xml:space="preserve">2. Problem Statement</w:t>
      </w:r>
    </w:p>
    <w:p>
      <w:pPr>
        <w:pStyle w:val="Heading2"/>
        <w:spacing w:after="120" w:before="280"/>
      </w:pPr>
      <w:r>
        <w:rPr>
          <w:rFonts w:ascii="Arial" w:cs="Arial" w:eastAsia="Arial" w:hAnsi="Arial"/>
          <w:b/>
          <w:bCs/>
          <w:color w:val="1E3A5F"/>
        </w:rPr>
        <w:t xml:space="preserve">2.1  The calculation problem</w:t>
      </w:r>
    </w:p>
    <w:p>
      <w:pPr>
        <w:spacing w:after="100" w:before="60"/>
        <w:jc w:val="left"/>
      </w:pPr>
      <w:r>
        <w:rPr>
          <w:rFonts w:ascii="Arial" w:cs="Arial" w:eastAsia="Arial" w:hAnsi="Arial"/>
          <w:b w:val="false"/>
          <w:bCs w:val="false"/>
          <w:color w:val="111111"/>
          <w:sz w:val="22"/>
          <w:szCs w:val="22"/>
        </w:rPr>
        <w:t xml:space="preserve">The existing 'available to spend' figure subtracted historical spending from income. This systematically ignored committed upcoming costs (rent, subscriptions, direct debits), producing a figure that was reliably too optimistic. In Round 1 testing, nearly every participant treated the number as safe to spend — and then discovered it wasn't.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60"/>
              <w:left w:type="dxa" w:w="240"/>
              <w:bottom w:type="dxa" w:w="160"/>
              <w:right w:type="dxa" w:w="240"/>
            </w:tcMar>
          </w:tcPr>
          <w:p>
            <w:pPr>
              <w:spacing w:after="0" w:before="0"/>
            </w:pPr>
            <w:r>
              <w:rPr>
                <w:rFonts w:ascii="Arial" w:cs="Arial" w:eastAsia="Arial" w:hAnsi="Arial"/>
                <w:color w:val="1E3A5F"/>
                <w:sz w:val="22"/>
                <w:szCs w:val="22"/>
              </w:rPr>
              <w:t xml:space="preserve">"Variable spending made 'available to spend' unreliable. Users couldn't trust it. In testing, nearly every participant made the same mistake: treating the number as safe to spend."</w:t>
            </w:r>
          </w:p>
        </w:tc>
      </w:tr>
    </w:tbl>
    <w:p>
      <w:pPr>
        <w:spacing w:after="0" w:before="120"/>
      </w:pPr>
    </w:p>
    <w:p>
      <w:pPr>
        <w:pStyle w:val="Heading2"/>
        <w:spacing w:after="120" w:before="280"/>
      </w:pPr>
      <w:r>
        <w:rPr>
          <w:rFonts w:ascii="Arial" w:cs="Arial" w:eastAsia="Arial" w:hAnsi="Arial"/>
          <w:b/>
          <w:bCs/>
          <w:color w:val="1E3A5F"/>
        </w:rPr>
        <w:t xml:space="preserve">2.2  The density problem</w:t>
      </w:r>
    </w:p>
    <w:p>
      <w:pPr>
        <w:spacing w:after="100" w:before="60"/>
        <w:jc w:val="left"/>
      </w:pPr>
      <w:r>
        <w:rPr>
          <w:rFonts w:ascii="Arial" w:cs="Arial" w:eastAsia="Arial" w:hAnsi="Arial"/>
          <w:b w:val="false"/>
          <w:bCs w:val="false"/>
          <w:color w:val="111111"/>
          <w:sz w:val="22"/>
          <w:szCs w:val="22"/>
        </w:rPr>
        <w:t xml:space="preserve">A richer data variant was preferred by 60% of users — but 40% disengaged entirely. Presenting more information did not produce better understanding; it produced overwhelm. The tension was not about preference — it was about information architecture.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60"/>
              <w:left w:type="dxa" w:w="240"/>
              <w:bottom w:type="dxa" w:w="160"/>
              <w:right w:type="dxa" w:w="240"/>
            </w:tcMar>
          </w:tcPr>
          <w:p>
            <w:pPr>
              <w:spacing w:after="0" w:before="0"/>
            </w:pPr>
            <w:r>
              <w:rPr>
                <w:rFonts w:ascii="Arial" w:cs="Arial" w:eastAsia="Arial" w:hAnsi="Arial"/>
                <w:color w:val="6B7280"/>
                <w:sz w:val="22"/>
                <w:szCs w:val="22"/>
              </w:rPr>
              <w:t xml:space="preserve">"It looks like I'm now a data analyst." — Participant, Round 2</w:t>
            </w:r>
          </w:p>
        </w:tc>
      </w:tr>
    </w:tbl>
    <w:p>
      <w:pPr>
        <w:spacing w:after="0" w:before="120"/>
      </w:pPr>
    </w:p>
    <w:p>
      <w:pPr>
        <w:pStyle w:val="Heading2"/>
        <w:spacing w:after="120" w:before="280"/>
      </w:pPr>
      <w:r>
        <w:rPr>
          <w:rFonts w:ascii="Arial" w:cs="Arial" w:eastAsia="Arial" w:hAnsi="Arial"/>
          <w:b/>
          <w:bCs/>
          <w:color w:val="1E3A5F"/>
        </w:rPr>
        <w:t xml:space="preserve">2.3  The AI trust problem</w:t>
      </w:r>
    </w:p>
    <w:p>
      <w:pPr>
        <w:spacing w:after="100" w:before="60"/>
        <w:jc w:val="left"/>
      </w:pPr>
      <w:r>
        <w:rPr>
          <w:rFonts w:ascii="Arial" w:cs="Arial" w:eastAsia="Arial" w:hAnsi="Arial"/>
          <w:b w:val="false"/>
          <w:bCs w:val="false"/>
          <w:color w:val="111111"/>
          <w:sz w:val="22"/>
          <w:szCs w:val="22"/>
        </w:rPr>
        <w:t xml:space="preserve">Users were comfortable with AI features — but only because they trusted their bank, not because they trusted AI. That trust was conditional: opaque calculations eroded it, transparent ones reinforced it. Users who could edit AI-generated values were more likely to engage with AI features, not less.</w:t>
      </w:r>
    </w:p>
    <w:p>
      <w:pPr>
        <w:pStyle w:val="Heading1"/>
        <w:pageBreakBefore/>
        <w:pBdr>
          <w:bottom w:val="single" w:color="2E6FDB" w:sz="6" w:space="6"/>
        </w:pBdr>
        <w:spacing w:after="200" w:before="0"/>
      </w:pPr>
      <w:r>
        <w:rPr>
          <w:rFonts w:ascii="Arial" w:cs="Arial" w:eastAsia="Arial" w:hAnsi="Arial"/>
          <w:b/>
          <w:bCs/>
          <w:color w:val="1E3A5F"/>
        </w:rPr>
        <w:t xml:space="preserve">3. Goals &amp; Success Metrics</w:t>
      </w:r>
    </w:p>
    <w:p>
      <w:pPr>
        <w:pStyle w:val="Heading2"/>
        <w:spacing w:after="120" w:before="280"/>
      </w:pPr>
      <w:r>
        <w:rPr>
          <w:rFonts w:ascii="Arial" w:cs="Arial" w:eastAsia="Arial" w:hAnsi="Arial"/>
          <w:b/>
          <w:bCs/>
          <w:color w:val="1E3A5F"/>
        </w:rPr>
        <w:t xml:space="preserve">3.1  Product goals</w:t>
      </w:r>
    </w:p>
    <w:p>
      <w:pPr>
        <w:pStyle w:val="ListParagraph"/>
        <w:numPr>
          <w:ilvl w:val="0"/>
          <w:numId w:val="3"/>
        </w:numPr>
        <w:spacing w:after="60" w:before="40"/>
      </w:pPr>
      <w:r>
        <w:rPr>
          <w:rFonts w:ascii="Arial" w:cs="Arial" w:eastAsia="Arial" w:hAnsi="Arial"/>
          <w:color w:val="111111"/>
          <w:sz w:val="22"/>
          <w:szCs w:val="22"/>
        </w:rPr>
        <w:t xml:space="preserve">Replace a misleading 'available to spend' figure with a transparent, accurate calculation that accounts for upcoming bills</w:t>
      </w:r>
    </w:p>
    <w:p>
      <w:pPr>
        <w:pStyle w:val="ListParagraph"/>
        <w:numPr>
          <w:ilvl w:val="0"/>
          <w:numId w:val="3"/>
        </w:numPr>
        <w:spacing w:after="60" w:before="40"/>
      </w:pPr>
      <w:r>
        <w:rPr>
          <w:rFonts w:ascii="Arial" w:cs="Arial" w:eastAsia="Arial" w:hAnsi="Arial"/>
          <w:color w:val="111111"/>
          <w:sz w:val="22"/>
          <w:szCs w:val="22"/>
        </w:rPr>
        <w:t xml:space="preserve">Surface AI-generated financial guidance in a way that feels proactive and personal, not algorithmic</w:t>
      </w:r>
    </w:p>
    <w:p>
      <w:pPr>
        <w:pStyle w:val="ListParagraph"/>
        <w:numPr>
          <w:ilvl w:val="0"/>
          <w:numId w:val="3"/>
        </w:numPr>
        <w:spacing w:after="60" w:before="40"/>
      </w:pPr>
      <w:r>
        <w:rPr>
          <w:rFonts w:ascii="Arial" w:cs="Arial" w:eastAsia="Arial" w:hAnsi="Arial"/>
          <w:color w:val="111111"/>
          <w:sz w:val="22"/>
          <w:szCs w:val="22"/>
        </w:rPr>
        <w:t xml:space="preserve">Manage information density through progressive disclosure so the dashboard feels calm by default and deep on demand</w:t>
      </w:r>
    </w:p>
    <w:p>
      <w:pPr>
        <w:pStyle w:val="ListParagraph"/>
        <w:numPr>
          <w:ilvl w:val="0"/>
          <w:numId w:val="3"/>
        </w:numPr>
        <w:spacing w:after="60" w:before="40"/>
      </w:pPr>
      <w:r>
        <w:rPr>
          <w:rFonts w:ascii="Arial" w:cs="Arial" w:eastAsia="Arial" w:hAnsi="Arial"/>
          <w:color w:val="111111"/>
          <w:sz w:val="22"/>
          <w:szCs w:val="22"/>
        </w:rPr>
        <w:t xml:space="preserve">Build AI trust through transparency, editability, and clear privacy disclosure</w:t>
      </w:r>
    </w:p>
    <w:p>
      <w:pPr>
        <w:spacing w:after="0" w:before="120"/>
      </w:pPr>
    </w:p>
    <w:p>
      <w:pPr>
        <w:pStyle w:val="Heading2"/>
        <w:spacing w:after="120" w:before="280"/>
      </w:pPr>
      <w:r>
        <w:rPr>
          <w:rFonts w:ascii="Arial" w:cs="Arial" w:eastAsia="Arial" w:hAnsi="Arial"/>
          <w:b/>
          <w:bCs/>
          <w:color w:val="1E3A5F"/>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2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96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Source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Left to Spend used as primary metric</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Primary figure checked in session</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Observed in Round 3 testing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Design preference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&gt;=80% prefer Hybrid over Control</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90% achieved in Round 3</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AI feature engagement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&gt;=70% interact with AI chat in session</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To be measured post-launch</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Onboarding completion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&gt;=85% complete setup without skipping</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To be measured post-launch</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Progressive disclosure usage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&gt;=40% expand 'Show more insights'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To be measured post-launch</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AI trust rating</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&gt;=4/5 comfort with AI after onboarding</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To be measured post-launch</w:t>
            </w:r>
          </w:p>
        </w:tc>
      </w:tr>
    </w:tbl>
    <w:p>
      <w:pPr>
        <w:pStyle w:val="Heading1"/>
        <w:pageBreakBefore/>
        <w:pBdr>
          <w:bottom w:val="single" w:color="2E6FDB" w:sz="6" w:space="6"/>
        </w:pBdr>
        <w:spacing w:after="200" w:before="0"/>
      </w:pPr>
      <w:r>
        <w:rPr>
          <w:rFonts w:ascii="Arial" w:cs="Arial" w:eastAsia="Arial" w:hAnsi="Arial"/>
          <w:b/>
          <w:bCs/>
          <w:color w:val="1E3A5F"/>
        </w:rPr>
        <w:t xml:space="preserve">4. Users</w:t>
      </w:r>
    </w:p>
    <w:p>
      <w:pPr>
        <w:pStyle w:val="Heading2"/>
        <w:spacing w:after="120" w:before="280"/>
      </w:pPr>
      <w:r>
        <w:rPr>
          <w:rFonts w:ascii="Arial" w:cs="Arial" w:eastAsia="Arial" w:hAnsi="Arial"/>
          <w:b/>
          <w:bCs/>
          <w:color w:val="1E3A5F"/>
        </w:rPr>
        <w:t xml:space="preserve">4.1  Research participant profile</w:t>
      </w:r>
    </w:p>
    <w:p>
      <w:pPr>
        <w:spacing w:after="100" w:before="60"/>
        <w:jc w:val="left"/>
      </w:pPr>
      <w:r>
        <w:rPr>
          <w:rFonts w:ascii="Arial" w:cs="Arial" w:eastAsia="Arial" w:hAnsi="Arial"/>
          <w:b w:val="false"/>
          <w:bCs w:val="false"/>
          <w:color w:val="111111"/>
          <w:sz w:val="22"/>
          <w:szCs w:val="22"/>
        </w:rPr>
        <w:t xml:space="preserve">All three research rounds recruited UK-based retail banking customers aged 25–55, with a gender balance of 13F/13M across 26 participants. Income ranged from £20,000 to £199,999.</w:t>
      </w:r>
    </w:p>
    <w:p>
      <w:pPr>
        <w:spacing w:after="0" w:before="120"/>
      </w:pPr>
    </w:p>
    <w:p>
      <w:pPr>
        <w:pStyle w:val="Heading2"/>
        <w:spacing w:after="120" w:before="280"/>
      </w:pPr>
      <w:r>
        <w:rPr>
          <w:rFonts w:ascii="Arial" w:cs="Arial" w:eastAsia="Arial" w:hAnsi="Arial"/>
          <w:b/>
          <w:bCs/>
          <w:color w:val="1E3A5F"/>
        </w:rPr>
        <w:t xml:space="preserve">4.2  User segments</w:t>
      </w:r>
    </w:p>
    <w:p>
      <w:pPr>
        <w:pStyle w:val="Heading3"/>
        <w:spacing w:after="80" w:before="200"/>
      </w:pPr>
      <w:r>
        <w:rPr>
          <w:rFonts w:ascii="Arial" w:cs="Arial" w:eastAsia="Arial" w:hAnsi="Arial"/>
          <w:b/>
          <w:bCs/>
          <w:color w:val="111111"/>
        </w:rPr>
        <w:t xml:space="preserve">The Anxious Optimist</w:t>
      </w:r>
    </w:p>
    <w:p>
      <w:pPr>
        <w:spacing w:after="100" w:before="60"/>
        <w:jc w:val="left"/>
      </w:pPr>
      <w:r>
        <w:rPr>
          <w:rFonts w:ascii="Arial" w:cs="Arial" w:eastAsia="Arial" w:hAnsi="Arial"/>
          <w:b w:val="false"/>
          <w:bCs w:val="false"/>
          <w:color w:val="111111"/>
          <w:sz w:val="22"/>
          <w:szCs w:val="22"/>
        </w:rPr>
        <w:t xml:space="preserve">Earns a reasonable income but struggles to track discretionary spend. Mentally aware of big upcoming bills but doesn't account for them. Prone to overspending because the number in the app looks fine. Needs: a realistic forward-looking figure, not a historical one.</w:t>
      </w:r>
    </w:p>
    <w:p>
      <w:pPr>
        <w:spacing w:after="0" w:before="80"/>
      </w:pPr>
    </w:p>
    <w:p>
      <w:pPr>
        <w:pStyle w:val="Heading3"/>
        <w:spacing w:after="80" w:before="200"/>
      </w:pPr>
      <w:r>
        <w:rPr>
          <w:rFonts w:ascii="Arial" w:cs="Arial" w:eastAsia="Arial" w:hAnsi="Arial"/>
          <w:b/>
          <w:bCs/>
          <w:color w:val="111111"/>
        </w:rPr>
        <w:t xml:space="preserve">The Spreadsheet-Builder</w:t>
      </w:r>
    </w:p>
    <w:p>
      <w:pPr>
        <w:spacing w:after="100" w:before="60"/>
        <w:jc w:val="left"/>
      </w:pPr>
      <w:r>
        <w:rPr>
          <w:rFonts w:ascii="Arial" w:cs="Arial" w:eastAsia="Arial" w:hAnsi="Arial"/>
          <w:b w:val="false"/>
          <w:bCs w:val="false"/>
          <w:color w:val="111111"/>
          <w:sz w:val="22"/>
          <w:szCs w:val="22"/>
        </w:rPr>
        <w:t xml:space="preserve">Already does this manually — tracking upcoming bills, calculating what's left, setting informal category budgets. Finds bank apps too passive. Will adopt the feature immediately if it saves them the manual work. Needs: accuracy, transparency, editability.</w:t>
      </w:r>
    </w:p>
    <w:p>
      <w:pPr>
        <w:spacing w:after="0" w:before="80"/>
      </w:pPr>
    </w:p>
    <w:p>
      <w:pPr>
        <w:pStyle w:val="Heading3"/>
        <w:spacing w:after="80" w:before="200"/>
      </w:pPr>
      <w:r>
        <w:rPr>
          <w:rFonts w:ascii="Arial" w:cs="Arial" w:eastAsia="Arial" w:hAnsi="Arial"/>
          <w:b/>
          <w:bCs/>
          <w:color w:val="111111"/>
        </w:rPr>
        <w:t xml:space="preserve">The Overwhelmed Minimalist</w:t>
      </w:r>
    </w:p>
    <w:p>
      <w:pPr>
        <w:spacing w:after="100" w:before="60"/>
        <w:jc w:val="left"/>
      </w:pPr>
      <w:r>
        <w:rPr>
          <w:rFonts w:ascii="Arial" w:cs="Arial" w:eastAsia="Arial" w:hAnsi="Arial"/>
          <w:b w:val="false"/>
          <w:bCs w:val="false"/>
          <w:color w:val="111111"/>
          <w:sz w:val="22"/>
          <w:szCs w:val="22"/>
        </w:rPr>
        <w:t xml:space="preserve">Wants to know one number: what's safe to spend. More data causes disengagement. Found the richer Variant layout alienating. Needs: a clean default view with the option to go deeper, not the reverse.</w:t>
      </w:r>
    </w:p>
    <w:p>
      <w:pPr>
        <w:spacing w:after="0" w:before="80"/>
      </w:pPr>
    </w:p>
    <w:p>
      <w:pPr>
        <w:pStyle w:val="Heading3"/>
        <w:spacing w:after="80" w:before="200"/>
      </w:pPr>
      <w:r>
        <w:rPr>
          <w:rFonts w:ascii="Arial" w:cs="Arial" w:eastAsia="Arial" w:hAnsi="Arial"/>
          <w:b/>
          <w:bCs/>
          <w:color w:val="111111"/>
        </w:rPr>
        <w:t xml:space="preserve">The Guided Learner</w:t>
      </w:r>
    </w:p>
    <w:p>
      <w:pPr>
        <w:spacing w:after="100" w:before="60"/>
        <w:jc w:val="left"/>
      </w:pPr>
      <w:r>
        <w:rPr>
          <w:rFonts w:ascii="Arial" w:cs="Arial" w:eastAsia="Arial" w:hAnsi="Arial"/>
          <w:b w:val="false"/>
          <w:bCs w:val="false"/>
          <w:color w:val="111111"/>
          <w:sz w:val="22"/>
          <w:szCs w:val="22"/>
        </w:rPr>
        <w:t xml:space="preserve">Open to AI financial advice but needs to feel in control. Wants to understand how recommendations are generated. Comfortable with AI as an extension of their bank's existing relationship. Needs: transparent calculations, visible logic, easy overrides.</w:t>
      </w:r>
    </w:p>
    <w:p>
      <w:pPr>
        <w:pStyle w:val="Heading1"/>
        <w:pageBreakBefore/>
        <w:pBdr>
          <w:bottom w:val="single" w:color="2E6FDB" w:sz="6" w:space="6"/>
        </w:pBdr>
        <w:spacing w:after="200" w:before="0"/>
      </w:pPr>
      <w:r>
        <w:rPr>
          <w:rFonts w:ascii="Arial" w:cs="Arial" w:eastAsia="Arial" w:hAnsi="Arial"/>
          <w:b/>
          <w:bCs/>
          <w:color w:val="1E3A5F"/>
        </w:rPr>
        <w:t xml:space="preserve">5. Features &amp; Requirements</w:t>
      </w:r>
    </w:p>
    <w:p>
      <w:pPr>
        <w:spacing w:after="100" w:before="60"/>
        <w:jc w:val="left"/>
      </w:pPr>
      <w:r>
        <w:rPr>
          <w:rFonts w:ascii="Arial" w:cs="Arial" w:eastAsia="Arial" w:hAnsi="Arial"/>
          <w:b w:val="false"/>
          <w:bCs w:val="false"/>
          <w:color w:val="111111"/>
          <w:sz w:val="22"/>
          <w:szCs w:val="22"/>
        </w:rPr>
        <w:t xml:space="preserve">Requirements are prioritised using MoSCoW: Must (launch blocker), Should (strongly recommended), Could (enhancement).</w:t>
      </w:r>
    </w:p>
    <w:p>
      <w:pPr>
        <w:spacing w:after="0" w:before="80"/>
      </w:pPr>
    </w:p>
    <w:p>
      <w:pPr>
        <w:pStyle w:val="Heading2"/>
        <w:spacing w:after="120" w:before="280"/>
      </w:pPr>
      <w:r>
        <w:rPr>
          <w:rFonts w:ascii="Arial" w:cs="Arial" w:eastAsia="Arial" w:hAnsi="Arial"/>
          <w:b/>
          <w:bCs/>
          <w:color w:val="1E3A5F"/>
        </w:rPr>
        <w:t xml:space="preserve">5.1  Left to Spend panel</w:t>
      </w:r>
    </w:p>
    <w:p>
      <w:pPr>
        <w:spacing w:after="100" w:before="60"/>
        <w:jc w:val="left"/>
      </w:pPr>
      <w:r>
        <w:rPr>
          <w:rFonts w:ascii="Arial" w:cs="Arial" w:eastAsia="Arial" w:hAnsi="Arial"/>
          <w:b w:val="false"/>
          <w:bCs w:val="false"/>
          <w:color w:val="111111"/>
          <w:sz w:val="22"/>
          <w:szCs w:val="22"/>
        </w:rPr>
        <w:t xml:space="preserve">The primary dashboard feature. Calculates and displays disposable income as: Current Balance − Upcoming Committed Bills = Left to Spend. This figure must be the most prominent number on the screen.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000"/>
        <w:gridCol w:w="2000"/>
      </w:tblGrid>
      <w:tr>
        <w:trPr>
          <w:tblHeader/>
        </w:trPr>
        <w:tc>
          <w:tcPr>
            <w:tcW w:type="dxa" w:w="8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56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0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0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LTS-01</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Display 'Left to Spend' as the primary hero figure on the dashboard</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3: users reached for this first</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LTS-02</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Show a visible calculation breakdown: Current Balance - Upcoming Bills = Left to Spend</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1: opacity caused confusion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LTS-03</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Allow users to manually edit the Left to Spend value</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1: invisible edit field caused failure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LTS-04</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Display a clear edit affordance (pencil icon + tooltip)</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1: no affordance = no discoverability</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LTS-05</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Confirm update with a brief success message when edited</w:t>
            </w:r>
          </w:p>
        </w:tc>
        <w:tc>
          <w:tcPr>
            <w:tcW w:type="dxa" w:w="10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r>
              <w:rPr>
                <w:rFonts w:ascii="Arial" w:cs="Arial" w:eastAsia="Arial" w:hAnsi="Arial"/>
                <w:b/>
                <w:bCs/>
                <w:color w:val="B45309"/>
                <w:sz w:val="20"/>
                <w:szCs w:val="20"/>
              </w:rPr>
              <w:t xml:space="preserve">Should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Prevents confusion after manual override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LTS-06</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Show which upcoming bills are included in the calculation</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Transparency requirement from Round 1 AI study</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LTS-07</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Allow users to include/exclude specific bills from the calculation</w:t>
            </w:r>
          </w:p>
        </w:tc>
        <w:tc>
          <w:tcPr>
            <w:tcW w:type="dxa" w:w="10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r>
              <w:rPr>
                <w:rFonts w:ascii="Arial" w:cs="Arial" w:eastAsia="Arial" w:hAnsi="Arial"/>
                <w:b/>
                <w:bCs/>
                <w:color w:val="B45309"/>
                <w:sz w:val="20"/>
                <w:szCs w:val="20"/>
              </w:rPr>
              <w:t xml:space="preserve">Should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Supports Spreadsheet-Builder segment</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LTS-08</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Reset to AI-calculated value option after manual edit</w:t>
            </w:r>
          </w:p>
        </w:tc>
        <w:tc>
          <w:tcPr>
            <w:tcW w:type="dxa" w:w="1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r>
              <w:rPr>
                <w:rFonts w:ascii="Arial" w:cs="Arial" w:eastAsia="Arial" w:hAnsi="Arial"/>
                <w:b/>
                <w:bCs/>
                <w:color w:val="15803D"/>
                <w:sz w:val="20"/>
                <w:szCs w:val="20"/>
              </w:rPr>
              <w:t xml:space="preserve">Could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Supports trust recovery</w:t>
            </w:r>
          </w:p>
        </w:tc>
      </w:tr>
    </w:tbl>
    <w:p>
      <w:pPr>
        <w:spacing w:after="0" w:before="120"/>
      </w:pPr>
    </w:p>
    <w:p>
      <w:pPr>
        <w:pStyle w:val="Heading2"/>
        <w:spacing w:after="120" w:before="280"/>
      </w:pPr>
      <w:r>
        <w:rPr>
          <w:rFonts w:ascii="Arial" w:cs="Arial" w:eastAsia="Arial" w:hAnsi="Arial"/>
          <w:b/>
          <w:bCs/>
          <w:color w:val="1E3A5F"/>
        </w:rPr>
        <w:t xml:space="preserve">5.2  AI guidance &amp; chat advisor</w:t>
      </w:r>
    </w:p>
    <w:p>
      <w:pPr>
        <w:spacing w:after="100" w:before="60"/>
        <w:jc w:val="left"/>
      </w:pPr>
      <w:r>
        <w:rPr>
          <w:rFonts w:ascii="Arial" w:cs="Arial" w:eastAsia="Arial" w:hAnsi="Arial"/>
          <w:b w:val="false"/>
          <w:bCs w:val="false"/>
          <w:color w:val="111111"/>
          <w:sz w:val="22"/>
          <w:szCs w:val="22"/>
        </w:rPr>
        <w:t xml:space="preserve">The AI analyses transaction patterns to surface personalised, conversational insights. Examples: 'Pay £55 extra/month to save £325 in interest.' The AI must feel like a financial guide, not an algorithm.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000"/>
        <w:gridCol w:w="2000"/>
      </w:tblGrid>
      <w:tr>
        <w:trPr>
          <w:tblHeader/>
        </w:trPr>
        <w:tc>
          <w:tcPr>
            <w:tcW w:type="dxa" w:w="8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56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0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0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AI-01</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Surface 3-5 personalised, actionable insights per session based on transaction history</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Core product differentiator</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AI-02</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Frame insights conversationally, not as raw data (e.g. 'You could save X by...')</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1: users want guidance, not reports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AI-03</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Include a dedicated AI chat interface for follow-up questions</w:t>
            </w:r>
          </w:p>
        </w:tc>
        <w:tc>
          <w:tcPr>
            <w:tcW w:type="dxa" w:w="10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r>
              <w:rPr>
                <w:rFonts w:ascii="Arial" w:cs="Arial" w:eastAsia="Arial" w:hAnsi="Arial"/>
                <w:b/>
                <w:bCs/>
                <w:color w:val="B45309"/>
                <w:sz w:val="20"/>
                <w:szCs w:val="20"/>
              </w:rPr>
              <w:t xml:space="preserve">Should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High engagement observed in testing</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AI-04</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Show privacy disclosure and data usage explanation before AI chat engagement</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1 AI study: users expected this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AI-05</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Allow users to dismiss, save, or act on individual AI recommendations</w:t>
            </w:r>
          </w:p>
        </w:tc>
        <w:tc>
          <w:tcPr>
            <w:tcW w:type="dxa" w:w="10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r>
              <w:rPr>
                <w:rFonts w:ascii="Arial" w:cs="Arial" w:eastAsia="Arial" w:hAnsi="Arial"/>
                <w:b/>
                <w:bCs/>
                <w:color w:val="B45309"/>
                <w:sz w:val="20"/>
                <w:szCs w:val="20"/>
              </w:rPr>
              <w:t xml:space="preserve">Should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Control supports adoption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AI-06</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Personalize insight content based on onboarding responses</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2: personalisation was a key differentiator</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AI-07</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Clearly attribute the source of any external data used in insights (e.g. credit data)</w:t>
            </w:r>
          </w:p>
        </w:tc>
        <w:tc>
          <w:tcPr>
            <w:tcW w:type="dxa" w:w="10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r>
              <w:rPr>
                <w:rFonts w:ascii="Arial" w:cs="Arial" w:eastAsia="Arial" w:hAnsi="Arial"/>
                <w:b/>
                <w:bCs/>
                <w:color w:val="B45309"/>
                <w:sz w:val="20"/>
                <w:szCs w:val="20"/>
              </w:rPr>
              <w:t xml:space="preserve">Should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1: data provenance confusion observed</w:t>
            </w:r>
          </w:p>
        </w:tc>
      </w:tr>
    </w:tbl>
    <w:p>
      <w:pPr>
        <w:spacing w:after="0" w:before="120"/>
      </w:pPr>
    </w:p>
    <w:p>
      <w:pPr>
        <w:pStyle w:val="Heading2"/>
        <w:spacing w:after="120" w:before="280"/>
      </w:pPr>
      <w:r>
        <w:rPr>
          <w:rFonts w:ascii="Arial" w:cs="Arial" w:eastAsia="Arial" w:hAnsi="Arial"/>
          <w:b/>
          <w:bCs/>
          <w:color w:val="1E3A5F"/>
        </w:rPr>
        <w:t xml:space="preserve">5.3  Progressive disclosure &amp; layout</w:t>
      </w:r>
    </w:p>
    <w:p>
      <w:pPr>
        <w:spacing w:after="100" w:before="60"/>
        <w:jc w:val="left"/>
      </w:pPr>
      <w:r>
        <w:rPr>
          <w:rFonts w:ascii="Arial" w:cs="Arial" w:eastAsia="Arial" w:hAnsi="Arial"/>
          <w:b w:val="false"/>
          <w:bCs w:val="false"/>
          <w:color w:val="111111"/>
          <w:sz w:val="22"/>
          <w:szCs w:val="22"/>
        </w:rPr>
        <w:t xml:space="preserve">The default view must be calm and scannable — showing only what users check daily. Additional insights, trends, and modules surface on demand. This is not a simplification; it is a deliberate hierarchy.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000"/>
        <w:gridCol w:w="2000"/>
      </w:tblGrid>
      <w:tr>
        <w:trPr>
          <w:tblHeader/>
        </w:trPr>
        <w:tc>
          <w:tcPr>
            <w:tcW w:type="dxa" w:w="8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56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0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0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PD-01</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Default view: Left to Spend, spending summary, top budget categories, one AI insight</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2: Variant overwhelmed 40% of users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PD-02</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Provide a 'Show more insights' action to expand deeper AI guidance</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Resolves density tension from Round 2</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PD-03</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Display total income at the top of the dashboard at all times</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2: removing income made Left to Spend untrustworthy</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PD-04</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Move non-daily metrics (e.g. Credit Score) below the fold</w:t>
            </w:r>
          </w:p>
        </w:tc>
        <w:tc>
          <w:tcPr>
            <w:tcW w:type="dxa" w:w="10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r>
              <w:rPr>
                <w:rFonts w:ascii="Arial" w:cs="Arial" w:eastAsia="Arial" w:hAnsi="Arial"/>
                <w:b/>
                <w:bCs/>
                <w:color w:val="B45309"/>
                <w:sz w:val="20"/>
                <w:szCs w:val="20"/>
              </w:rPr>
              <w:t xml:space="preserve">Should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2: users noted it was not a daily metric</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PD-05</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Allow users to reorder or hide dashboard tiles</w:t>
            </w:r>
          </w:p>
        </w:tc>
        <w:tc>
          <w:tcPr>
            <w:tcW w:type="dxa" w:w="1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r>
              <w:rPr>
                <w:rFonts w:ascii="Arial" w:cs="Arial" w:eastAsia="Arial" w:hAnsi="Arial"/>
                <w:b/>
                <w:bCs/>
                <w:color w:val="15803D"/>
                <w:sz w:val="20"/>
                <w:szCs w:val="20"/>
              </w:rPr>
              <w:t xml:space="preserve">Could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1: hierarchy mismatch observed</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PD-06</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Remove generic 'Ways to boost your finances' module from default layout</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2: described as cluttering and confusing</w:t>
            </w:r>
          </w:p>
        </w:tc>
      </w:tr>
    </w:tbl>
    <w:p>
      <w:pPr>
        <w:spacing w:after="0" w:before="120"/>
      </w:pPr>
    </w:p>
    <w:p>
      <w:pPr>
        <w:pStyle w:val="Heading2"/>
        <w:spacing w:after="120" w:before="280"/>
      </w:pPr>
      <w:r>
        <w:rPr>
          <w:rFonts w:ascii="Arial" w:cs="Arial" w:eastAsia="Arial" w:hAnsi="Arial"/>
          <w:b/>
          <w:bCs/>
          <w:color w:val="1E3A5F"/>
        </w:rPr>
        <w:t xml:space="preserve">5.4  Personalised onboarding</w:t>
      </w:r>
    </w:p>
    <w:p>
      <w:pPr>
        <w:spacing w:after="100" w:before="60"/>
        <w:jc w:val="left"/>
      </w:pPr>
      <w:r>
        <w:rPr>
          <w:rFonts w:ascii="Arial" w:cs="Arial" w:eastAsia="Arial" w:hAnsi="Arial"/>
          <w:b w:val="false"/>
          <w:bCs w:val="false"/>
          <w:color w:val="111111"/>
          <w:sz w:val="22"/>
          <w:szCs w:val="22"/>
        </w:rPr>
        <w:t xml:space="preserve">Onboarding collects goals, income sources, and financial priorities to personalise the dashboard from day one. It must be quick, flexible, and non-blocking.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000"/>
        <w:gridCol w:w="2000"/>
      </w:tblGrid>
      <w:tr>
        <w:trPr>
          <w:tblHeader/>
        </w:trPr>
        <w:tc>
          <w:tcPr>
            <w:tcW w:type="dxa" w:w="8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56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0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0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OB-01</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Allow multi-select for both financial goals and income sources</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1: single-select caused frustration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OB-02</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Do not auto-advance screens after selection</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1: users needed time to review their answer</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OB-03</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Provide a 'Skip for now' option on all onboarding screens</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2: one user wanted immediate dashboard access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OB-04</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Use onboarding responses to pre-populate AI insight categories</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2: personalisation was the key differentiator</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OB-05</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Allow users to update their goals and income profile post-onboarding</w:t>
            </w:r>
          </w:p>
        </w:tc>
        <w:tc>
          <w:tcPr>
            <w:tcW w:type="dxa" w:w="10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r>
              <w:rPr>
                <w:rFonts w:ascii="Arial" w:cs="Arial" w:eastAsia="Arial" w:hAnsi="Arial"/>
                <w:b/>
                <w:bCs/>
                <w:color w:val="B45309"/>
                <w:sz w:val="20"/>
                <w:szCs w:val="20"/>
              </w:rPr>
              <w:t xml:space="preserve">Should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Life circumstances change</w:t>
            </w:r>
          </w:p>
        </w:tc>
      </w:tr>
    </w:tbl>
    <w:p>
      <w:pPr>
        <w:spacing w:after="0" w:before="120"/>
      </w:pPr>
    </w:p>
    <w:p>
      <w:pPr>
        <w:pStyle w:val="Heading2"/>
        <w:spacing w:after="120" w:before="280"/>
      </w:pPr>
      <w:r>
        <w:rPr>
          <w:rFonts w:ascii="Arial" w:cs="Arial" w:eastAsia="Arial" w:hAnsi="Arial"/>
          <w:b/>
          <w:bCs/>
          <w:color w:val="1E3A5F"/>
        </w:rPr>
        <w:t xml:space="preserve">5.5  Budget tracking &amp; visual design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000"/>
        <w:gridCol w:w="2000"/>
      </w:tblGrid>
      <w:tr>
        <w:trPr>
          <w:tblHeader/>
        </w:trPr>
        <w:tc>
          <w:tcPr>
            <w:tcW w:type="dxa" w:w="8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56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0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0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BT-01</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Display category budgets prominently in the default view</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2: easier to scan on Control than Variant</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BT-02</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Use traffic light colour coding: green (on track), amber (warning), red (over budget)</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top"/>
          </w:tcPr>
          <w:p>
            <w:r>
              <w:rPr>
                <w:rFonts w:ascii="Arial" w:cs="Arial" w:eastAsia="Arial" w:hAnsi="Arial"/>
                <w:b/>
                <w:bCs/>
                <w:color w:val="B91C1C"/>
                <w:sz w:val="20"/>
                <w:szCs w:val="20"/>
              </w:rPr>
              <w:t xml:space="preserve">Must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3: orange for overspend was unintuitive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BT-03</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Allow users to manually re-categorise individual transactions</w:t>
            </w:r>
          </w:p>
        </w:tc>
        <w:tc>
          <w:tcPr>
            <w:tcW w:type="dxa" w:w="10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r>
              <w:rPr>
                <w:rFonts w:ascii="Arial" w:cs="Arial" w:eastAsia="Arial" w:hAnsi="Arial"/>
                <w:b/>
                <w:bCs/>
                <w:color w:val="B45309"/>
                <w:sz w:val="20"/>
                <w:szCs w:val="20"/>
              </w:rPr>
              <w:t xml:space="preserve">Should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3: miscategorisation observed (e.g. parking in Personal Care)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BT-04</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Provide hover tooltips that remain visible on click (not just hover)</w:t>
            </w:r>
          </w:p>
        </w:tc>
        <w:tc>
          <w:tcPr>
            <w:tcW w:type="dxa" w:w="10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r>
              <w:rPr>
                <w:rFonts w:ascii="Arial" w:cs="Arial" w:eastAsia="Arial" w:hAnsi="Arial"/>
                <w:b/>
                <w:bCs/>
                <w:color w:val="B45309"/>
                <w:sz w:val="20"/>
                <w:szCs w:val="20"/>
              </w:rPr>
              <w:t xml:space="preserve">Should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1: disappearing tooltips caused friction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b/>
                <w:bCs/>
                <w:color w:val="6B7280"/>
                <w:sz w:val="20"/>
                <w:szCs w:val="20"/>
              </w:rPr>
              <w:t xml:space="preserve">BT-05</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111111"/>
                <w:sz w:val="20"/>
                <w:szCs w:val="20"/>
              </w:rPr>
              <w:t xml:space="preserve">Add a month-over-month comparison view or trend line</w:t>
            </w:r>
          </w:p>
        </w:tc>
        <w:tc>
          <w:tcPr>
            <w:tcW w:type="dxa" w:w="1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r>
              <w:rPr>
                <w:rFonts w:ascii="Arial" w:cs="Arial" w:eastAsia="Arial" w:hAnsi="Arial"/>
                <w:b/>
                <w:bCs/>
                <w:color w:val="15803D"/>
                <w:sz w:val="20"/>
                <w:szCs w:val="20"/>
              </w:rPr>
              <w:t xml:space="preserve">Could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r>
              <w:rPr>
                <w:rFonts w:ascii="Arial" w:cs="Arial" w:eastAsia="Arial" w:hAnsi="Arial"/>
                <w:color w:val="6B7280"/>
                <w:sz w:val="19"/>
                <w:szCs w:val="19"/>
              </w:rPr>
              <w:t xml:space="preserve">Round 3: requested by participants</w:t>
            </w:r>
          </w:p>
        </w:tc>
      </w:tr>
    </w:tbl>
    <w:p>
      <w:pPr>
        <w:pStyle w:val="Heading1"/>
        <w:pageBreakBefore/>
        <w:pBdr>
          <w:bottom w:val="single" w:color="2E6FDB" w:sz="6" w:space="6"/>
        </w:pBdr>
        <w:spacing w:after="200" w:before="0"/>
      </w:pPr>
      <w:r>
        <w:rPr>
          <w:rFonts w:ascii="Arial" w:cs="Arial" w:eastAsia="Arial" w:hAnsi="Arial"/>
          <w:b/>
          <w:bCs/>
          <w:color w:val="1E3A5F"/>
        </w:rPr>
        <w:t xml:space="preserve">6. User Stories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6FDB" w:sz="1"/>
              <w:left w:val="single" w:color="2E6FDB" w:sz="1"/>
              <w:bottom w:val="single" w:color="2E6FDB" w:sz="1"/>
              <w:right w:val="single" w:color="2E6FDB" w:sz="1"/>
            </w:tcBorders>
            <w:shd w:fill="2E6FDB" w:val="clear"/>
            <w:tcMar>
              <w:top w:type="dxa" w:w="80"/>
              <w:left w:type="dxa" w:w="120"/>
              <w:bottom w:type="dxa" w:w="80"/>
              <w:right w:type="dxa" w:w="120"/>
            </w:tcMar>
          </w:tcPr>
          <w:p>
            <w:r>
              <w:rPr>
                <w:rFonts w:ascii="Arial" w:cs="Arial" w:eastAsia="Arial" w:hAnsi="Arial"/>
                <w:b/>
                <w:bCs/>
                <w:color w:val="FFFFFF"/>
                <w:sz w:val="20"/>
                <w:szCs w:val="20"/>
              </w:rPr>
              <w:t xml:space="preserve">US-01</w:t>
            </w:r>
          </w:p>
        </w:tc>
        <w:tc>
          <w:tcPr>
            <w:tcW w:type="dxa" w:w="7760"/>
            <w:tcBorders>
              <w:top w:val="single" w:color="2E6FDB" w:sz="1"/>
              <w:left w:val="single" w:color="2E6FDB" w:sz="1"/>
              <w:bottom w:val="single" w:color="2E6FDB" w:sz="1"/>
              <w:right w:val="single" w:color="2E6FDB" w:sz="1"/>
            </w:tcBorders>
            <w:tcMar>
              <w:top w:type="dxa" w:w="80"/>
              <w:left w:type="dxa" w:w="120"/>
              <w:bottom w:type="dxa" w:w="80"/>
              <w:right w:type="dxa" w:w="120"/>
            </w:tcMar>
          </w:tcPr>
          <w:p>
            <w:r>
              <w:rPr>
                <w:rFonts w:ascii="Arial" w:cs="Arial" w:eastAsia="Arial" w:hAnsi="Arial"/>
                <w:sz w:val="20"/>
                <w:szCs w:val="20"/>
              </w:rPr>
              <w:t xml:space="preserve">As a </w:t>
            </w:r>
            <w:r>
              <w:rPr>
                <w:rFonts w:ascii="Arial" w:cs="Arial" w:eastAsia="Arial" w:hAnsi="Arial"/>
                <w:b/>
                <w:bCs/>
                <w:sz w:val="20"/>
                <w:szCs w:val="20"/>
              </w:rPr>
              <w:t xml:space="preserve">retail banking customer,</w:t>
            </w:r>
            <w:r>
              <w:rPr>
                <w:rFonts w:ascii="Arial" w:cs="Arial" w:eastAsia="Arial" w:hAnsi="Arial"/>
                <w:sz w:val="20"/>
                <w:szCs w:val="20"/>
              </w:rPr>
              <w:t xml:space="preserve"> I want to see what I can actually spend after my upcoming bills are paid so that I stop making discretionary purchases based on a misleadingly high balance figure.</w:t>
            </w:r>
          </w:p>
        </w:tc>
      </w:tr>
      <w:tr>
        <w:tc>
          <w:tcPr>
            <w:tcW w:type="dxa" w:w="1600"/>
            <w:tcBorders>
              <w:top w:val="single" w:color="D1D5DB" w:sz="1"/>
              <w:left w:val="single" w:color="D1D5DB" w:sz="1"/>
              <w:bottom w:val="single" w:color="D1D5DB" w:sz="1"/>
              <w:right w:val="single" w:color="D1D5DB" w:sz="1"/>
            </w:tcBorders>
            <w:shd w:fill="EFF4FB" w:val="clear"/>
            <w:tcMar>
              <w:top w:type="dxa" w:w="60"/>
              <w:left w:type="dxa" w:w="120"/>
              <w:bottom w:type="dxa" w:w="60"/>
              <w:right w:type="dxa" w:w="120"/>
            </w:tcMar>
          </w:tcPr>
          <w:p>
            <w:r>
              <w:rPr>
                <w:rFonts w:ascii="Arial" w:cs="Arial" w:eastAsia="Arial" w:hAnsi="Arial"/>
                <w:b/>
                <w:bCs/>
                <w:color w:val="6B7280"/>
                <w:sz w:val="18"/>
                <w:szCs w:val="18"/>
              </w:rPr>
              <w:t xml:space="preserve">Acceptance</w:t>
            </w:r>
          </w:p>
        </w:tc>
        <w:tc>
          <w:tcPr>
            <w:tcW w:type="dxa" w:w="7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111"/>
                <w:sz w:val="20"/>
                <w:szCs w:val="20"/>
              </w:rPr>
              <w:t xml:space="preserve">Given I open the Financial Insights screen, when I view the Left to Spend panel, then I see: Current Balance, Upcoming Bills total, and the resulting Left to Spend figure as three distinct values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6B7280"/>
                <w:sz w:val="18"/>
                <w:szCs w:val="18"/>
              </w:rPr>
              <w:t xml:space="preserve"/>
            </w:r>
          </w:p>
        </w:tc>
        <w:tc>
          <w:tcPr>
            <w:tcW w:type="dxa" w:w="7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111"/>
                <w:sz w:val="20"/>
                <w:szCs w:val="20"/>
              </w:rPr>
              <w:t xml:space="preserve">Given I tap/click the Left to Spend figure, when I see the edit affordance (pencil icon), then I can modify the value and the dashboard updates all dependent insights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6B7280"/>
                <w:sz w:val="18"/>
                <w:szCs w:val="18"/>
              </w:rPr>
              <w:t xml:space="preserve"/>
            </w:r>
          </w:p>
        </w:tc>
        <w:tc>
          <w:tcPr>
            <w:tcW w:type="dxa" w:w="7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111"/>
                <w:sz w:val="20"/>
                <w:szCs w:val="20"/>
              </w:rPr>
              <w:t xml:space="preserve">Given I edit the Left to Spend value, when the update is confirmed, then a brief success message appears explaining the dashboard has updated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6FDB" w:sz="1"/>
              <w:left w:val="single" w:color="2E6FDB" w:sz="1"/>
              <w:bottom w:val="single" w:color="2E6FDB" w:sz="1"/>
              <w:right w:val="single" w:color="2E6FDB" w:sz="1"/>
            </w:tcBorders>
            <w:shd w:fill="2E6FDB" w:val="clear"/>
            <w:tcMar>
              <w:top w:type="dxa" w:w="80"/>
              <w:left w:type="dxa" w:w="120"/>
              <w:bottom w:type="dxa" w:w="80"/>
              <w:right w:type="dxa" w:w="120"/>
            </w:tcMar>
          </w:tcPr>
          <w:p>
            <w:r>
              <w:rPr>
                <w:rFonts w:ascii="Arial" w:cs="Arial" w:eastAsia="Arial" w:hAnsi="Arial"/>
                <w:b/>
                <w:bCs/>
                <w:color w:val="FFFFFF"/>
                <w:sz w:val="20"/>
                <w:szCs w:val="20"/>
              </w:rPr>
              <w:t xml:space="preserve">US-02</w:t>
            </w:r>
          </w:p>
        </w:tc>
        <w:tc>
          <w:tcPr>
            <w:tcW w:type="dxa" w:w="7760"/>
            <w:tcBorders>
              <w:top w:val="single" w:color="2E6FDB" w:sz="1"/>
              <w:left w:val="single" w:color="2E6FDB" w:sz="1"/>
              <w:bottom w:val="single" w:color="2E6FDB" w:sz="1"/>
              <w:right w:val="single" w:color="2E6FDB" w:sz="1"/>
            </w:tcBorders>
            <w:tcMar>
              <w:top w:type="dxa" w:w="80"/>
              <w:left w:type="dxa" w:w="120"/>
              <w:bottom w:type="dxa" w:w="80"/>
              <w:right w:type="dxa" w:w="120"/>
            </w:tcMar>
          </w:tcPr>
          <w:p>
            <w:r>
              <w:rPr>
                <w:rFonts w:ascii="Arial" w:cs="Arial" w:eastAsia="Arial" w:hAnsi="Arial"/>
                <w:sz w:val="20"/>
                <w:szCs w:val="20"/>
              </w:rPr>
              <w:t xml:space="preserve">As a </w:t>
            </w:r>
            <w:r>
              <w:rPr>
                <w:rFonts w:ascii="Arial" w:cs="Arial" w:eastAsia="Arial" w:hAnsi="Arial"/>
                <w:b/>
                <w:bCs/>
                <w:sz w:val="20"/>
                <w:szCs w:val="20"/>
              </w:rPr>
              <w:t xml:space="preserve">banking customer with multiple income sources,</w:t>
            </w:r>
            <w:r>
              <w:rPr>
                <w:rFonts w:ascii="Arial" w:cs="Arial" w:eastAsia="Arial" w:hAnsi="Arial"/>
                <w:sz w:val="20"/>
                <w:szCs w:val="20"/>
              </w:rPr>
              <w:t xml:space="preserve"> I want to set up my dashboard to reflect all my income and goals so that the AI recommendations are relevant to my actual financial situation.</w:t>
            </w:r>
          </w:p>
        </w:tc>
      </w:tr>
      <w:tr>
        <w:tc>
          <w:tcPr>
            <w:tcW w:type="dxa" w:w="1600"/>
            <w:tcBorders>
              <w:top w:val="single" w:color="D1D5DB" w:sz="1"/>
              <w:left w:val="single" w:color="D1D5DB" w:sz="1"/>
              <w:bottom w:val="single" w:color="D1D5DB" w:sz="1"/>
              <w:right w:val="single" w:color="D1D5DB" w:sz="1"/>
            </w:tcBorders>
            <w:shd w:fill="EFF4FB" w:val="clear"/>
            <w:tcMar>
              <w:top w:type="dxa" w:w="60"/>
              <w:left w:type="dxa" w:w="120"/>
              <w:bottom w:type="dxa" w:w="60"/>
              <w:right w:type="dxa" w:w="120"/>
            </w:tcMar>
          </w:tcPr>
          <w:p>
            <w:r>
              <w:rPr>
                <w:rFonts w:ascii="Arial" w:cs="Arial" w:eastAsia="Arial" w:hAnsi="Arial"/>
                <w:b/>
                <w:bCs/>
                <w:color w:val="6B7280"/>
                <w:sz w:val="18"/>
                <w:szCs w:val="18"/>
              </w:rPr>
              <w:t xml:space="preserve">Acceptance</w:t>
            </w:r>
          </w:p>
        </w:tc>
        <w:tc>
          <w:tcPr>
            <w:tcW w:type="dxa" w:w="7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111"/>
                <w:sz w:val="20"/>
                <w:szCs w:val="20"/>
              </w:rPr>
              <w:t xml:space="preserve">Given I begin onboarding, when prompted for income sources, then I can select multiple options (salary, freelance, rental, etc.) simultaneously</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6B7280"/>
                <w:sz w:val="18"/>
                <w:szCs w:val="18"/>
              </w:rPr>
              <w:t xml:space="preserve"/>
            </w:r>
          </w:p>
        </w:tc>
        <w:tc>
          <w:tcPr>
            <w:tcW w:type="dxa" w:w="7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111"/>
                <w:sz w:val="20"/>
                <w:szCs w:val="20"/>
              </w:rPr>
              <w:t xml:space="preserve">Given I begin onboarding, when prompted for goals, then I can select multiple goals (save for a house, pay off debt, build emergency fund, etc.)</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6B7280"/>
                <w:sz w:val="18"/>
                <w:szCs w:val="18"/>
              </w:rPr>
              <w:t xml:space="preserve"/>
            </w:r>
          </w:p>
        </w:tc>
        <w:tc>
          <w:tcPr>
            <w:tcW w:type="dxa" w:w="7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111"/>
                <w:sz w:val="20"/>
                <w:szCs w:val="20"/>
              </w:rPr>
              <w:t xml:space="preserve">Given I answer an onboarding question, when I want to review my answer, then the screen does not auto-advance — I must explicitly tap 'Continue'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6FDB" w:sz="1"/>
              <w:left w:val="single" w:color="2E6FDB" w:sz="1"/>
              <w:bottom w:val="single" w:color="2E6FDB" w:sz="1"/>
              <w:right w:val="single" w:color="2E6FDB" w:sz="1"/>
            </w:tcBorders>
            <w:shd w:fill="2E6FDB" w:val="clear"/>
            <w:tcMar>
              <w:top w:type="dxa" w:w="80"/>
              <w:left w:type="dxa" w:w="120"/>
              <w:bottom w:type="dxa" w:w="80"/>
              <w:right w:type="dxa" w:w="120"/>
            </w:tcMar>
          </w:tcPr>
          <w:p>
            <w:r>
              <w:rPr>
                <w:rFonts w:ascii="Arial" w:cs="Arial" w:eastAsia="Arial" w:hAnsi="Arial"/>
                <w:b/>
                <w:bCs/>
                <w:color w:val="FFFFFF"/>
                <w:sz w:val="20"/>
                <w:szCs w:val="20"/>
              </w:rPr>
              <w:t xml:space="preserve">US-03</w:t>
            </w:r>
          </w:p>
        </w:tc>
        <w:tc>
          <w:tcPr>
            <w:tcW w:type="dxa" w:w="7760"/>
            <w:tcBorders>
              <w:top w:val="single" w:color="2E6FDB" w:sz="1"/>
              <w:left w:val="single" w:color="2E6FDB" w:sz="1"/>
              <w:bottom w:val="single" w:color="2E6FDB" w:sz="1"/>
              <w:right w:val="single" w:color="2E6FDB" w:sz="1"/>
            </w:tcBorders>
            <w:tcMar>
              <w:top w:type="dxa" w:w="80"/>
              <w:left w:type="dxa" w:w="120"/>
              <w:bottom w:type="dxa" w:w="80"/>
              <w:right w:type="dxa" w:w="120"/>
            </w:tcMar>
          </w:tcPr>
          <w:p>
            <w:r>
              <w:rPr>
                <w:rFonts w:ascii="Arial" w:cs="Arial" w:eastAsia="Arial" w:hAnsi="Arial"/>
                <w:sz w:val="20"/>
                <w:szCs w:val="20"/>
              </w:rPr>
              <w:t xml:space="preserve">As a </w:t>
            </w:r>
            <w:r>
              <w:rPr>
                <w:rFonts w:ascii="Arial" w:cs="Arial" w:eastAsia="Arial" w:hAnsi="Arial"/>
                <w:b/>
                <w:bCs/>
                <w:sz w:val="20"/>
                <w:szCs w:val="20"/>
              </w:rPr>
              <w:t xml:space="preserve">banking customer who finds data-heavy screens overwhelming,</w:t>
            </w:r>
            <w:r>
              <w:rPr>
                <w:rFonts w:ascii="Arial" w:cs="Arial" w:eastAsia="Arial" w:hAnsi="Arial"/>
                <w:sz w:val="20"/>
                <w:szCs w:val="20"/>
              </w:rPr>
              <w:t xml:space="preserve"> I want to see a clean summary by default and go deeper only when I want to so that I don't disengage from the dashboard because it feels too complex.</w:t>
            </w:r>
          </w:p>
        </w:tc>
      </w:tr>
      <w:tr>
        <w:tc>
          <w:tcPr>
            <w:tcW w:type="dxa" w:w="1600"/>
            <w:tcBorders>
              <w:top w:val="single" w:color="D1D5DB" w:sz="1"/>
              <w:left w:val="single" w:color="D1D5DB" w:sz="1"/>
              <w:bottom w:val="single" w:color="D1D5DB" w:sz="1"/>
              <w:right w:val="single" w:color="D1D5DB" w:sz="1"/>
            </w:tcBorders>
            <w:shd w:fill="EFF4FB" w:val="clear"/>
            <w:tcMar>
              <w:top w:type="dxa" w:w="60"/>
              <w:left w:type="dxa" w:w="120"/>
              <w:bottom w:type="dxa" w:w="60"/>
              <w:right w:type="dxa" w:w="120"/>
            </w:tcMar>
          </w:tcPr>
          <w:p>
            <w:r>
              <w:rPr>
                <w:rFonts w:ascii="Arial" w:cs="Arial" w:eastAsia="Arial" w:hAnsi="Arial"/>
                <w:b/>
                <w:bCs/>
                <w:color w:val="6B7280"/>
                <w:sz w:val="18"/>
                <w:szCs w:val="18"/>
              </w:rPr>
              <w:t xml:space="preserve">Acceptance</w:t>
            </w:r>
          </w:p>
        </w:tc>
        <w:tc>
          <w:tcPr>
            <w:tcW w:type="dxa" w:w="7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111"/>
                <w:sz w:val="20"/>
                <w:szCs w:val="20"/>
              </w:rPr>
              <w:t xml:space="preserve">Given I open the Financial Insights screen, then I see only: Left to Spend, total income, spending summary, top categories, and one AI insight by default</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6B7280"/>
                <w:sz w:val="18"/>
                <w:szCs w:val="18"/>
              </w:rPr>
              <w:t xml:space="preserve"/>
            </w:r>
          </w:p>
        </w:tc>
        <w:tc>
          <w:tcPr>
            <w:tcW w:type="dxa" w:w="7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111"/>
                <w:sz w:val="20"/>
                <w:szCs w:val="20"/>
              </w:rPr>
              <w:t xml:space="preserve">Given I want more detail, when I tap 'Show more insights', then additional AI recommendations and trend data expand below the fold</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6B7280"/>
                <w:sz w:val="18"/>
                <w:szCs w:val="18"/>
              </w:rPr>
              <w:t xml:space="preserve"/>
            </w:r>
          </w:p>
        </w:tc>
        <w:tc>
          <w:tcPr>
            <w:tcW w:type="dxa" w:w="7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111"/>
                <w:sz w:val="20"/>
                <w:szCs w:val="20"/>
              </w:rPr>
              <w:t xml:space="preserve">Given I prefer less data, then a 'Simple view' toggle is available (post-launch enhancement)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6FDB" w:sz="1"/>
              <w:left w:val="single" w:color="2E6FDB" w:sz="1"/>
              <w:bottom w:val="single" w:color="2E6FDB" w:sz="1"/>
              <w:right w:val="single" w:color="2E6FDB" w:sz="1"/>
            </w:tcBorders>
            <w:shd w:fill="2E6FDB" w:val="clear"/>
            <w:tcMar>
              <w:top w:type="dxa" w:w="80"/>
              <w:left w:type="dxa" w:w="120"/>
              <w:bottom w:type="dxa" w:w="80"/>
              <w:right w:type="dxa" w:w="120"/>
            </w:tcMar>
          </w:tcPr>
          <w:p>
            <w:r>
              <w:rPr>
                <w:rFonts w:ascii="Arial" w:cs="Arial" w:eastAsia="Arial" w:hAnsi="Arial"/>
                <w:b/>
                <w:bCs/>
                <w:color w:val="FFFFFF"/>
                <w:sz w:val="20"/>
                <w:szCs w:val="20"/>
              </w:rPr>
              <w:t xml:space="preserve">US-04</w:t>
            </w:r>
          </w:p>
        </w:tc>
        <w:tc>
          <w:tcPr>
            <w:tcW w:type="dxa" w:w="7760"/>
            <w:tcBorders>
              <w:top w:val="single" w:color="2E6FDB" w:sz="1"/>
              <w:left w:val="single" w:color="2E6FDB" w:sz="1"/>
              <w:bottom w:val="single" w:color="2E6FDB" w:sz="1"/>
              <w:right w:val="single" w:color="2E6FDB" w:sz="1"/>
            </w:tcBorders>
            <w:tcMar>
              <w:top w:type="dxa" w:w="80"/>
              <w:left w:type="dxa" w:w="120"/>
              <w:bottom w:type="dxa" w:w="80"/>
              <w:right w:type="dxa" w:w="120"/>
            </w:tcMar>
          </w:tcPr>
          <w:p>
            <w:r>
              <w:rPr>
                <w:rFonts w:ascii="Arial" w:cs="Arial" w:eastAsia="Arial" w:hAnsi="Arial"/>
                <w:sz w:val="20"/>
                <w:szCs w:val="20"/>
              </w:rPr>
              <w:t xml:space="preserve">As a </w:t>
            </w:r>
            <w:r>
              <w:rPr>
                <w:rFonts w:ascii="Arial" w:cs="Arial" w:eastAsia="Arial" w:hAnsi="Arial"/>
                <w:b/>
                <w:bCs/>
                <w:sz w:val="20"/>
                <w:szCs w:val="20"/>
              </w:rPr>
              <w:t xml:space="preserve">banking customer about to engage with the AI chat advisor,</w:t>
            </w:r>
            <w:r>
              <w:rPr>
                <w:rFonts w:ascii="Arial" w:cs="Arial" w:eastAsia="Arial" w:hAnsi="Arial"/>
                <w:sz w:val="20"/>
                <w:szCs w:val="20"/>
              </w:rPr>
              <w:t xml:space="preserve"> I want to understand how my data is being used before I start so that I can give informed consent and feel comfortable with the AI feature.</w:t>
            </w:r>
          </w:p>
        </w:tc>
      </w:tr>
      <w:tr>
        <w:tc>
          <w:tcPr>
            <w:tcW w:type="dxa" w:w="1600"/>
            <w:tcBorders>
              <w:top w:val="single" w:color="D1D5DB" w:sz="1"/>
              <w:left w:val="single" w:color="D1D5DB" w:sz="1"/>
              <w:bottom w:val="single" w:color="D1D5DB" w:sz="1"/>
              <w:right w:val="single" w:color="D1D5DB" w:sz="1"/>
            </w:tcBorders>
            <w:shd w:fill="EFF4FB" w:val="clear"/>
            <w:tcMar>
              <w:top w:type="dxa" w:w="60"/>
              <w:left w:type="dxa" w:w="120"/>
              <w:bottom w:type="dxa" w:w="60"/>
              <w:right w:type="dxa" w:w="120"/>
            </w:tcMar>
          </w:tcPr>
          <w:p>
            <w:r>
              <w:rPr>
                <w:rFonts w:ascii="Arial" w:cs="Arial" w:eastAsia="Arial" w:hAnsi="Arial"/>
                <w:b/>
                <w:bCs/>
                <w:color w:val="6B7280"/>
                <w:sz w:val="18"/>
                <w:szCs w:val="18"/>
              </w:rPr>
              <w:t xml:space="preserve">Acceptance</w:t>
            </w:r>
          </w:p>
        </w:tc>
        <w:tc>
          <w:tcPr>
            <w:tcW w:type="dxa" w:w="7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111"/>
                <w:sz w:val="20"/>
                <w:szCs w:val="20"/>
              </w:rPr>
              <w:t xml:space="preserve">Given I tap the AI chat feature for the first time, then a privacy disclosure screen appears before the chat opens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6B7280"/>
                <w:sz w:val="18"/>
                <w:szCs w:val="18"/>
              </w:rPr>
              <w:t xml:space="preserve"/>
            </w:r>
          </w:p>
        </w:tc>
        <w:tc>
          <w:tcPr>
            <w:tcW w:type="dxa" w:w="7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111"/>
                <w:sz w:val="20"/>
                <w:szCs w:val="20"/>
              </w:rPr>
              <w:t xml:space="preserve">Given I view the privacy disclosure, then it clearly explains what data is used, how, and who can access it — in plain language, not legal copy</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6B7280"/>
                <w:sz w:val="18"/>
                <w:szCs w:val="18"/>
              </w:rPr>
              <w:t xml:space="preserve"/>
            </w:r>
          </w:p>
        </w:tc>
        <w:tc>
          <w:tcPr>
            <w:tcW w:type="dxa" w:w="7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111"/>
                <w:sz w:val="20"/>
                <w:szCs w:val="20"/>
              </w:rPr>
              <w:t xml:space="preserve">Given I want to proceed, when I confirm, then the AI chat opens with a personalised greeting based on my onboarding profile</w:t>
            </w:r>
          </w:p>
        </w:tc>
      </w:tr>
    </w:tbl>
    <w:p>
      <w:pPr>
        <w:pStyle w:val="Heading1"/>
        <w:pageBreakBefore/>
        <w:pBdr>
          <w:bottom w:val="single" w:color="2E6FDB" w:sz="6" w:space="6"/>
        </w:pBdr>
        <w:spacing w:after="200" w:before="0"/>
      </w:pPr>
      <w:r>
        <w:rPr>
          <w:rFonts w:ascii="Arial" w:cs="Arial" w:eastAsia="Arial" w:hAnsi="Arial"/>
          <w:b/>
          <w:bCs/>
          <w:color w:val="1E3A5F"/>
        </w:rPr>
        <w:t xml:space="preserve">7. Responsible AI Requirements</w:t>
      </w:r>
    </w:p>
    <w:p>
      <w:pPr>
        <w:spacing w:after="100" w:before="60"/>
        <w:jc w:val="left"/>
      </w:pPr>
      <w:r>
        <w:rPr>
          <w:rFonts w:ascii="Arial" w:cs="Arial" w:eastAsia="Arial" w:hAnsi="Arial"/>
          <w:b w:val="false"/>
          <w:bCs w:val="false"/>
          <w:color w:val="111111"/>
          <w:sz w:val="22"/>
          <w:szCs w:val="22"/>
        </w:rPr>
        <w:t xml:space="preserve">Trust in AI features was observed to derive from trust in the institution, not from AI itself. This section defines requirements that maintain and extend that trust through transparency, control, and appropriate disclosure.</w:t>
      </w:r>
    </w:p>
    <w:p>
      <w:pPr>
        <w:spacing w:after="0" w:before="120"/>
      </w:pPr>
    </w:p>
    <w:p>
      <w:pPr>
        <w:pStyle w:val="Heading2"/>
        <w:spacing w:after="120" w:before="280"/>
      </w:pPr>
      <w:r>
        <w:rPr>
          <w:rFonts w:ascii="Arial" w:cs="Arial" w:eastAsia="Arial" w:hAnsi="Arial"/>
          <w:b/>
          <w:bCs/>
          <w:color w:val="1E3A5F"/>
        </w:rPr>
        <w:t xml:space="preserve">7.1  Transparency</w:t>
      </w:r>
    </w:p>
    <w:p>
      <w:pPr>
        <w:pStyle w:val="ListParagraph"/>
        <w:numPr>
          <w:ilvl w:val="0"/>
          <w:numId w:val="2"/>
        </w:numPr>
        <w:spacing w:after="60" w:before="40"/>
      </w:pPr>
      <w:r>
        <w:rPr>
          <w:rFonts w:ascii="Arial" w:cs="Arial" w:eastAsia="Arial" w:hAnsi="Arial"/>
          <w:color w:val="111111"/>
          <w:sz w:val="22"/>
          <w:szCs w:val="22"/>
        </w:rPr>
        <w:t xml:space="preserve">All AI-generated figures must display the underlying calculation logic, not just the output</w:t>
      </w:r>
    </w:p>
    <w:p>
      <w:pPr>
        <w:pStyle w:val="ListParagraph"/>
        <w:numPr>
          <w:ilvl w:val="0"/>
          <w:numId w:val="2"/>
        </w:numPr>
        <w:spacing w:after="60" w:before="40"/>
      </w:pPr>
      <w:r>
        <w:rPr>
          <w:rFonts w:ascii="Arial" w:cs="Arial" w:eastAsia="Arial" w:hAnsi="Arial"/>
          <w:color w:val="111111"/>
          <w:sz w:val="22"/>
          <w:szCs w:val="22"/>
        </w:rPr>
        <w:t xml:space="preserve">Debt and credit insights must clearly state the data source (bank-held data vs. external credit reference)</w:t>
      </w:r>
    </w:p>
    <w:p>
      <w:pPr>
        <w:pStyle w:val="ListParagraph"/>
        <w:numPr>
          <w:ilvl w:val="0"/>
          <w:numId w:val="2"/>
        </w:numPr>
        <w:spacing w:after="60" w:before="40"/>
      </w:pPr>
      <w:r>
        <w:rPr>
          <w:rFonts w:ascii="Arial" w:cs="Arial" w:eastAsia="Arial" w:hAnsi="Arial"/>
          <w:color w:val="111111"/>
          <w:sz w:val="22"/>
          <w:szCs w:val="22"/>
        </w:rPr>
        <w:t xml:space="preserve">AI loading screens must communicate what is being generated — not assign users a 'money personality' or persona</w:t>
      </w:r>
    </w:p>
    <w:p>
      <w:pPr>
        <w:spacing w:after="0" w:before="120"/>
      </w:pPr>
    </w:p>
    <w:p>
      <w:pPr>
        <w:pStyle w:val="Heading2"/>
        <w:spacing w:after="120" w:before="280"/>
      </w:pPr>
      <w:r>
        <w:rPr>
          <w:rFonts w:ascii="Arial" w:cs="Arial" w:eastAsia="Arial" w:hAnsi="Arial"/>
          <w:b/>
          <w:bCs/>
          <w:color w:val="1E3A5F"/>
        </w:rPr>
        <w:t xml:space="preserve">7.2  User control</w:t>
      </w:r>
    </w:p>
    <w:p>
      <w:pPr>
        <w:pStyle w:val="ListParagraph"/>
        <w:numPr>
          <w:ilvl w:val="0"/>
          <w:numId w:val="2"/>
        </w:numPr>
        <w:spacing w:after="60" w:before="40"/>
      </w:pPr>
      <w:r>
        <w:rPr>
          <w:rFonts w:ascii="Arial" w:cs="Arial" w:eastAsia="Arial" w:hAnsi="Arial"/>
          <w:color w:val="111111"/>
          <w:sz w:val="22"/>
          <w:szCs w:val="22"/>
        </w:rPr>
        <w:t xml:space="preserve">Any AI-generated value that affects financial decisions must be user-editable</w:t>
      </w:r>
    </w:p>
    <w:p>
      <w:pPr>
        <w:pStyle w:val="ListParagraph"/>
        <w:numPr>
          <w:ilvl w:val="0"/>
          <w:numId w:val="2"/>
        </w:numPr>
        <w:spacing w:after="60" w:before="40"/>
      </w:pPr>
      <w:r>
        <w:rPr>
          <w:rFonts w:ascii="Arial" w:cs="Arial" w:eastAsia="Arial" w:hAnsi="Arial"/>
          <w:color w:val="111111"/>
          <w:sz w:val="22"/>
          <w:szCs w:val="22"/>
        </w:rPr>
        <w:t xml:space="preserve">When a user overrides an AI value, a confirmation message must clarify that the dashboard has updated based on their input</w:t>
      </w:r>
    </w:p>
    <w:p>
      <w:pPr>
        <w:pStyle w:val="ListParagraph"/>
        <w:numPr>
          <w:ilvl w:val="0"/>
          <w:numId w:val="2"/>
        </w:numPr>
        <w:spacing w:after="60" w:before="40"/>
      </w:pPr>
      <w:r>
        <w:rPr>
          <w:rFonts w:ascii="Arial" w:cs="Arial" w:eastAsia="Arial" w:hAnsi="Arial"/>
          <w:color w:val="111111"/>
          <w:sz w:val="22"/>
          <w:szCs w:val="22"/>
        </w:rPr>
        <w:t xml:space="preserve">Users must be able to dismiss, ignore, or mute individual AI recommendations without penalty</w:t>
      </w:r>
    </w:p>
    <w:p>
      <w:pPr>
        <w:spacing w:after="0" w:before="120"/>
      </w:pPr>
    </w:p>
    <w:p>
      <w:pPr>
        <w:pStyle w:val="Heading2"/>
        <w:spacing w:after="120" w:before="280"/>
      </w:pPr>
      <w:r>
        <w:rPr>
          <w:rFonts w:ascii="Arial" w:cs="Arial" w:eastAsia="Arial" w:hAnsi="Arial"/>
          <w:b/>
          <w:bCs/>
          <w:color w:val="1E3A5F"/>
        </w:rPr>
        <w:t xml:space="preserve">7.3  Privacy &amp; disclosure</w:t>
      </w:r>
    </w:p>
    <w:p>
      <w:pPr>
        <w:pStyle w:val="ListParagraph"/>
        <w:numPr>
          <w:ilvl w:val="0"/>
          <w:numId w:val="2"/>
        </w:numPr>
        <w:spacing w:after="60" w:before="40"/>
      </w:pPr>
      <w:r>
        <w:rPr>
          <w:rFonts w:ascii="Arial" w:cs="Arial" w:eastAsia="Arial" w:hAnsi="Arial"/>
          <w:color w:val="111111"/>
          <w:sz w:val="22"/>
          <w:szCs w:val="22"/>
        </w:rPr>
        <w:t xml:space="preserve">Privacy disclosure must appear before first AI chat engagement — not buried in settings</w:t>
      </w:r>
    </w:p>
    <w:p>
      <w:pPr>
        <w:pStyle w:val="ListParagraph"/>
        <w:numPr>
          <w:ilvl w:val="0"/>
          <w:numId w:val="2"/>
        </w:numPr>
        <w:spacing w:after="60" w:before="40"/>
      </w:pPr>
      <w:r>
        <w:rPr>
          <w:rFonts w:ascii="Arial" w:cs="Arial" w:eastAsia="Arial" w:hAnsi="Arial"/>
          <w:color w:val="111111"/>
          <w:sz w:val="22"/>
          <w:szCs w:val="22"/>
        </w:rPr>
        <w:t xml:space="preserve">Privacy disclosure text must be at minimum 14pt, visible without scrolling</w:t>
      </w:r>
    </w:p>
    <w:p>
      <w:pPr>
        <w:pStyle w:val="ListParagraph"/>
        <w:numPr>
          <w:ilvl w:val="0"/>
          <w:numId w:val="2"/>
        </w:numPr>
        <w:spacing w:after="60" w:before="40"/>
      </w:pPr>
      <w:r>
        <w:rPr>
          <w:rFonts w:ascii="Arial" w:cs="Arial" w:eastAsia="Arial" w:hAnsi="Arial"/>
          <w:color w:val="111111"/>
          <w:sz w:val="22"/>
          <w:szCs w:val="22"/>
        </w:rPr>
        <w:t xml:space="preserve">The timing of AI data access must be clearly communicated during onboarding</w:t>
      </w:r>
    </w:p>
    <w:p>
      <w:pPr>
        <w:spacing w:after="0" w:before="120"/>
      </w:pPr>
    </w:p>
    <w:p>
      <w:pPr>
        <w:pStyle w:val="Heading2"/>
        <w:spacing w:after="120" w:before="280"/>
      </w:pPr>
      <w:r>
        <w:rPr>
          <w:rFonts w:ascii="Arial" w:cs="Arial" w:eastAsia="Arial" w:hAnsi="Arial"/>
          <w:b/>
          <w:bCs/>
          <w:color w:val="1E3A5F"/>
        </w:rPr>
        <w:t xml:space="preserve">7.4  Accuracy</w:t>
      </w:r>
    </w:p>
    <w:p>
      <w:pPr>
        <w:pStyle w:val="ListParagraph"/>
        <w:numPr>
          <w:ilvl w:val="0"/>
          <w:numId w:val="2"/>
        </w:numPr>
        <w:spacing w:after="60" w:before="40"/>
      </w:pPr>
      <w:r>
        <w:rPr>
          <w:rFonts w:ascii="Arial" w:cs="Arial" w:eastAsia="Arial" w:hAnsi="Arial"/>
          <w:color w:val="111111"/>
          <w:sz w:val="22"/>
          <w:szCs w:val="22"/>
        </w:rPr>
        <w:t xml:space="preserve">Transaction categorisation must achieve high accuracy — provide an easy mechanism for users to correct errors</w:t>
      </w:r>
    </w:p>
    <w:p>
      <w:pPr>
        <w:pStyle w:val="ListParagraph"/>
        <w:numPr>
          <w:ilvl w:val="0"/>
          <w:numId w:val="2"/>
        </w:numPr>
        <w:spacing w:after="60" w:before="40"/>
      </w:pPr>
      <w:r>
        <w:rPr>
          <w:rFonts w:ascii="Arial" w:cs="Arial" w:eastAsia="Arial" w:hAnsi="Arial"/>
          <w:color w:val="111111"/>
          <w:sz w:val="22"/>
          <w:szCs w:val="22"/>
        </w:rPr>
        <w:t xml:space="preserve">Financial forecasts must be clearly labelled as projections, not guarantees</w:t>
      </w:r>
    </w:p>
    <w:p>
      <w:pPr>
        <w:pStyle w:val="ListParagraph"/>
        <w:numPr>
          <w:ilvl w:val="0"/>
          <w:numId w:val="2"/>
        </w:numPr>
        <w:spacing w:after="60" w:before="40"/>
      </w:pPr>
      <w:r>
        <w:rPr>
          <w:rFonts w:ascii="Arial" w:cs="Arial" w:eastAsia="Arial" w:hAnsi="Arial"/>
          <w:color w:val="111111"/>
          <w:sz w:val="22"/>
          <w:szCs w:val="22"/>
        </w:rPr>
        <w:t xml:space="preserve">AI tips must be based on the user's own transaction data, not generic advice</w:t>
      </w:r>
    </w:p>
    <w:p>
      <w:pPr>
        <w:pStyle w:val="Heading1"/>
        <w:pageBreakBefore/>
        <w:pBdr>
          <w:bottom w:val="single" w:color="2E6FDB" w:sz="6" w:space="6"/>
        </w:pBdr>
        <w:spacing w:after="200" w:before="0"/>
      </w:pPr>
      <w:r>
        <w:rPr>
          <w:rFonts w:ascii="Arial" w:cs="Arial" w:eastAsia="Arial" w:hAnsi="Arial"/>
          <w:b/>
          <w:bCs/>
          <w:color w:val="1E3A5F"/>
        </w:rPr>
        <w:t xml:space="preserve">8. Out of Scope (v1.0)</w:t>
      </w:r>
    </w:p>
    <w:p>
      <w:pPr>
        <w:spacing w:after="100" w:before="60"/>
        <w:jc w:val="left"/>
      </w:pPr>
      <w:r>
        <w:rPr>
          <w:rFonts w:ascii="Arial" w:cs="Arial" w:eastAsia="Arial" w:hAnsi="Arial"/>
          <w:b w:val="false"/>
          <w:bCs w:val="false"/>
          <w:color w:val="111111"/>
          <w:sz w:val="22"/>
          <w:szCs w:val="22"/>
        </w:rPr>
        <w:t xml:space="preserve">The following are explicitly excluded from this release to maintain focus:</w:t>
      </w:r>
    </w:p>
    <w:p>
      <w:pPr>
        <w:spacing w:after="0" w:before="80"/>
      </w:pPr>
    </w:p>
    <w:p>
      <w:pPr>
        <w:pStyle w:val="ListParagraph"/>
        <w:numPr>
          <w:ilvl w:val="0"/>
          <w:numId w:val="2"/>
        </w:numPr>
        <w:spacing w:after="60" w:before="40"/>
      </w:pPr>
      <w:r>
        <w:rPr>
          <w:rFonts w:ascii="Arial" w:cs="Arial" w:eastAsia="Arial" w:hAnsi="Arial"/>
          <w:color w:val="111111"/>
          <w:sz w:val="22"/>
          <w:szCs w:val="22"/>
        </w:rPr>
        <w:t xml:space="preserve">Mobile adaptation (validated web-first; mobile design follows in a subsequent sprint)</w:t>
      </w:r>
    </w:p>
    <w:p>
      <w:pPr>
        <w:pStyle w:val="ListParagraph"/>
        <w:numPr>
          <w:ilvl w:val="0"/>
          <w:numId w:val="2"/>
        </w:numPr>
        <w:spacing w:after="60" w:before="40"/>
      </w:pPr>
      <w:r>
        <w:rPr>
          <w:rFonts w:ascii="Arial" w:cs="Arial" w:eastAsia="Arial" w:hAnsi="Arial"/>
          <w:color w:val="111111"/>
          <w:sz w:val="22"/>
          <w:szCs w:val="22"/>
        </w:rPr>
        <w:t xml:space="preserve">US or APAC market localisation (UK participants only in research; broader validation to follow)</w:t>
      </w:r>
    </w:p>
    <w:p>
      <w:pPr>
        <w:pStyle w:val="ListParagraph"/>
        <w:numPr>
          <w:ilvl w:val="0"/>
          <w:numId w:val="2"/>
        </w:numPr>
        <w:spacing w:after="60" w:before="40"/>
      </w:pPr>
      <w:r>
        <w:rPr>
          <w:rFonts w:ascii="Arial" w:cs="Arial" w:eastAsia="Arial" w:hAnsi="Arial"/>
          <w:color w:val="111111"/>
          <w:sz w:val="22"/>
          <w:szCs w:val="22"/>
        </w:rPr>
        <w:t xml:space="preserve">Third-party open banking integrations (data scope is bank-held accounts only)</w:t>
      </w:r>
    </w:p>
    <w:p>
      <w:pPr>
        <w:pStyle w:val="ListParagraph"/>
        <w:numPr>
          <w:ilvl w:val="0"/>
          <w:numId w:val="2"/>
        </w:numPr>
        <w:spacing w:after="60" w:before="40"/>
      </w:pPr>
      <w:r>
        <w:rPr>
          <w:rFonts w:ascii="Arial" w:cs="Arial" w:eastAsia="Arial" w:hAnsi="Arial"/>
          <w:color w:val="111111"/>
          <w:sz w:val="22"/>
          <w:szCs w:val="22"/>
        </w:rPr>
        <w:t xml:space="preserve">Month-over-month trend graphs (flagged by Round 3 participants; post-launch enhancement)</w:t>
      </w:r>
    </w:p>
    <w:p>
      <w:pPr>
        <w:pStyle w:val="ListParagraph"/>
        <w:numPr>
          <w:ilvl w:val="0"/>
          <w:numId w:val="2"/>
        </w:numPr>
        <w:spacing w:after="60" w:before="40"/>
      </w:pPr>
      <w:r>
        <w:rPr>
          <w:rFonts w:ascii="Arial" w:cs="Arial" w:eastAsia="Arial" w:hAnsi="Arial"/>
          <w:color w:val="111111"/>
          <w:sz w:val="22"/>
          <w:szCs w:val="22"/>
        </w:rPr>
        <w:t xml:space="preserve">'Simple view' toggle (requested by minority of participants; post-launch enhancement)</w:t>
      </w:r>
    </w:p>
    <w:p>
      <w:pPr>
        <w:pStyle w:val="ListParagraph"/>
        <w:numPr>
          <w:ilvl w:val="0"/>
          <w:numId w:val="2"/>
        </w:numPr>
        <w:spacing w:after="60" w:before="40"/>
      </w:pPr>
      <w:r>
        <w:rPr>
          <w:rFonts w:ascii="Arial" w:cs="Arial" w:eastAsia="Arial" w:hAnsi="Arial"/>
          <w:color w:val="111111"/>
          <w:sz w:val="22"/>
          <w:szCs w:val="22"/>
        </w:rPr>
        <w:t xml:space="preserve">Savings goals automation (mentioned by participants; separate product scope)</w:t>
      </w:r>
    </w:p>
    <w:p>
      <w:pPr>
        <w:pStyle w:val="Heading1"/>
        <w:pageBreakBefore/>
        <w:pBdr>
          <w:bottom w:val="single" w:color="2E6FDB" w:sz="6" w:space="6"/>
        </w:pBdr>
        <w:spacing w:after="200" w:before="0"/>
      </w:pPr>
      <w:r>
        <w:rPr>
          <w:rFonts w:ascii="Arial" w:cs="Arial" w:eastAsia="Arial" w:hAnsi="Arial"/>
          <w:b/>
          <w:bCs/>
          <w:color w:val="1E3A5F"/>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600"/>
      </w:tblGrid>
      <w:tr>
        <w:trPr>
          <w:tblHeader/>
        </w:trPr>
        <w:tc>
          <w:tcPr>
            <w:tcW w:type="dxa" w:w="4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536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3600"/>
            <w:tcBorders>
              <w:top w:val="single" w:color="2E6FDB" w:sz="1"/>
              <w:left w:val="single" w:color="2E6FDB" w:sz="1"/>
              <w:bottom w:val="single" w:color="2E6FDB" w:sz="1"/>
              <w:right w:val="single" w:color="2E6F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 / Status</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1</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What is the exact data model for 'upcoming bills'? Does it pull from scheduled payments, recurring transactions, or manual input?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Engineering — open</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2</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How does the Left to Spend figure handle variable monthly bills (e.g. utilities)?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Product + Engineering — open</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3</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What is the fallback experience for users who skip onboarding entirely?</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Design — open</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4</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What LLM or AI model powers the chat advisor, and what are the latency/accuracy SLAs?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Engineering — open</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5</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Does the privacy disclosure require legal review before final copy is set?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Legal + Product — open</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6</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What happens to a user's manually edited Left to Spend value at month rollover?</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111"/>
                <w:sz w:val="20"/>
                <w:szCs w:val="20"/>
              </w:rPr>
              <w:t xml:space="preserve">Product — open</w:t>
            </w:r>
          </w:p>
        </w:tc>
      </w:tr>
    </w:tbl>
    <w:p>
      <w:pPr>
        <w:pStyle w:val="Heading1"/>
        <w:pageBreakBefore/>
        <w:pBdr>
          <w:bottom w:val="single" w:color="2E6FDB" w:sz="6" w:space="6"/>
        </w:pBdr>
        <w:spacing w:after="200" w:before="0"/>
      </w:pPr>
      <w:r>
        <w:rPr>
          <w:rFonts w:ascii="Arial" w:cs="Arial" w:eastAsia="Arial" w:hAnsi="Arial"/>
          <w:b/>
          <w:bCs/>
          <w:color w:val="1E3A5F"/>
        </w:rPr>
        <w:t xml:space="preserve">10. Next Steps</w:t>
      </w:r>
    </w:p>
    <w:p>
      <w:pPr>
        <w:pStyle w:val="ListParagraph"/>
        <w:numPr>
          <w:ilvl w:val="0"/>
          <w:numId w:val="3"/>
        </w:numPr>
        <w:spacing w:after="60" w:before="40"/>
      </w:pPr>
      <w:r>
        <w:rPr>
          <w:rFonts w:ascii="Arial" w:cs="Arial" w:eastAsia="Arial" w:hAnsi="Arial"/>
          <w:color w:val="111111"/>
          <w:sz w:val="22"/>
          <w:szCs w:val="22"/>
        </w:rPr>
        <w:t xml:space="preserve">Align the Hybrid design with existing design library components and tokens</w:t>
      </w:r>
    </w:p>
    <w:p>
      <w:pPr>
        <w:pStyle w:val="ListParagraph"/>
        <w:numPr>
          <w:ilvl w:val="0"/>
          <w:numId w:val="3"/>
        </w:numPr>
        <w:spacing w:after="60" w:before="40"/>
      </w:pPr>
      <w:r>
        <w:rPr>
          <w:rFonts w:ascii="Arial" w:cs="Arial" w:eastAsia="Arial" w:hAnsi="Arial"/>
          <w:color w:val="111111"/>
          <w:sz w:val="22"/>
          <w:szCs w:val="22"/>
        </w:rPr>
        <w:t xml:space="preserve">Review open questions with engineering to validate feasibility of Left to Spend data model</w:t>
      </w:r>
    </w:p>
    <w:p>
      <w:pPr>
        <w:pStyle w:val="ListParagraph"/>
        <w:numPr>
          <w:ilvl w:val="0"/>
          <w:numId w:val="3"/>
        </w:numPr>
        <w:spacing w:after="60" w:before="40"/>
      </w:pPr>
      <w:r>
        <w:rPr>
          <w:rFonts w:ascii="Arial" w:cs="Arial" w:eastAsia="Arial" w:hAnsi="Arial"/>
          <w:color w:val="111111"/>
          <w:sz w:val="22"/>
          <w:szCs w:val="22"/>
        </w:rPr>
        <w:t xml:space="preserve">Legal review of AI privacy disclosure copy</w:t>
      </w:r>
    </w:p>
    <w:p>
      <w:pPr>
        <w:pStyle w:val="ListParagraph"/>
        <w:numPr>
          <w:ilvl w:val="0"/>
          <w:numId w:val="3"/>
        </w:numPr>
        <w:spacing w:after="60" w:before="40"/>
      </w:pPr>
      <w:r>
        <w:rPr>
          <w:rFonts w:ascii="Arial" w:cs="Arial" w:eastAsia="Arial" w:hAnsi="Arial"/>
          <w:color w:val="111111"/>
          <w:sz w:val="22"/>
          <w:szCs w:val="22"/>
        </w:rPr>
        <w:t xml:space="preserve">Design mobile adaptation of validated Hybrid layout</w:t>
      </w:r>
    </w:p>
    <w:p>
      <w:pPr>
        <w:pStyle w:val="ListParagraph"/>
        <w:numPr>
          <w:ilvl w:val="0"/>
          <w:numId w:val="3"/>
        </w:numPr>
        <w:spacing w:after="60" w:before="40"/>
      </w:pPr>
      <w:r>
        <w:rPr>
          <w:rFonts w:ascii="Arial" w:cs="Arial" w:eastAsia="Arial" w:hAnsi="Arial"/>
          <w:color w:val="111111"/>
          <w:sz w:val="22"/>
          <w:szCs w:val="22"/>
        </w:rPr>
        <w:t xml:space="preserve">Define analytics instrumentation plan to capture post-launch success metrics</w:t>
      </w:r>
    </w:p>
    <w:p>
      <w:pPr>
        <w:pStyle w:val="ListParagraph"/>
        <w:numPr>
          <w:ilvl w:val="0"/>
          <w:numId w:val="3"/>
        </w:numPr>
        <w:spacing w:after="60" w:before="40"/>
      </w:pPr>
      <w:r>
        <w:rPr>
          <w:rFonts w:ascii="Arial" w:cs="Arial" w:eastAsia="Arial" w:hAnsi="Arial"/>
          <w:color w:val="111111"/>
          <w:sz w:val="22"/>
          <w:szCs w:val="22"/>
        </w:rPr>
        <w:t xml:space="preserve">Plan US and/or APAC validation round to test generalisability of findings</w:t>
      </w:r>
    </w:p>
    <w:p>
      <w:pPr>
        <w:spacing w:after="0" w:before="120"/>
      </w:pPr>
    </w:p>
    <w:p>
      <w:pPr>
        <w:pStyle w:val="Heading1"/>
        <w:pageBreakBefore/>
        <w:pBdr>
          <w:bottom w:val="single" w:color="2E6FDB" w:sz="6" w:space="6"/>
        </w:pBdr>
        <w:spacing w:after="200" w:before="0"/>
      </w:pPr>
      <w:r>
        <w:rPr>
          <w:rFonts w:ascii="Arial" w:cs="Arial" w:eastAsia="Arial" w:hAnsi="Arial"/>
          <w:b/>
          <w:bCs/>
          <w:color w:val="1E3A5F"/>
        </w:rPr>
        <w:t xml:space="preserve">Appendix: Research Evidence</w:t>
      </w:r>
    </w:p>
    <w:p>
      <w:pPr>
        <w:pStyle w:val="Heading2"/>
        <w:spacing w:after="120" w:before="280"/>
      </w:pPr>
      <w:r>
        <w:rPr>
          <w:rFonts w:ascii="Arial" w:cs="Arial" w:eastAsia="Arial" w:hAnsi="Arial"/>
          <w:b/>
          <w:bCs/>
          <w:color w:val="1E3A5F"/>
        </w:rPr>
        <w:t xml:space="preserve">A.1  Study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000"/>
        <w:gridCol w:w="1960"/>
        <w:gridCol w:w="1960"/>
      </w:tblGrid>
      <w:tr>
        <w:trPr>
          <w:tblHeader/>
        </w:trPr>
        <w:tc>
          <w:tcPr>
            <w:tcW w:type="dxa" w:w="1440"/>
            <w:tcBorders>
              <w:top w:val="single" w:color="2E6FDB" w:sz="1"/>
              <w:left w:val="single" w:color="2E6FDB" w:sz="1"/>
              <w:bottom w:val="single" w:color="2E6FDB" w:sz="1"/>
              <w:right w:val="single" w:color="2E6FDB" w:sz="1"/>
            </w:tcBorders>
            <w:shd w:fill="1E3A5F" w:val="clear"/>
            <w:tcMar>
              <w:top w:type="dxa" w:w="80"/>
              <w:left w:type="dxa" w:w="80"/>
              <w:bottom w:type="dxa" w:w="80"/>
              <w:right w:type="dxa" w:w="80"/>
            </w:tcMar>
          </w:tcPr>
          <w:p>
            <w:r>
              <w:rPr>
                <w:rFonts w:ascii="Arial" w:cs="Arial" w:eastAsia="Arial" w:hAnsi="Arial"/>
                <w:b/>
                <w:bCs/>
                <w:color w:val="FFFFFF"/>
                <w:sz w:val="19"/>
                <w:szCs w:val="19"/>
              </w:rPr>
              <w:t xml:space="preserve">Round</w:t>
            </w:r>
          </w:p>
        </w:tc>
        <w:tc>
          <w:tcPr>
            <w:tcW w:type="dxa" w:w="2000"/>
            <w:tcBorders>
              <w:top w:val="single" w:color="2E6FDB" w:sz="1"/>
              <w:left w:val="single" w:color="2E6FDB" w:sz="1"/>
              <w:bottom w:val="single" w:color="2E6FDB" w:sz="1"/>
              <w:right w:val="single" w:color="2E6FDB" w:sz="1"/>
            </w:tcBorders>
            <w:shd w:fill="1E3A5F" w:val="clear"/>
            <w:tcMar>
              <w:top w:type="dxa" w:w="80"/>
              <w:left w:type="dxa" w:w="80"/>
              <w:bottom w:type="dxa" w:w="80"/>
              <w:right w:type="dxa" w:w="80"/>
            </w:tcMar>
          </w:tcPr>
          <w:p>
            <w:r>
              <w:rPr>
                <w:rFonts w:ascii="Arial" w:cs="Arial" w:eastAsia="Arial" w:hAnsi="Arial"/>
                <w:b/>
                <w:bCs/>
                <w:color w:val="FFFFFF"/>
                <w:sz w:val="19"/>
                <w:szCs w:val="19"/>
              </w:rPr>
              <w:t xml:space="preserve">Method</w:t>
            </w:r>
          </w:p>
        </w:tc>
        <w:tc>
          <w:tcPr>
            <w:tcW w:type="dxa" w:w="2000"/>
            <w:tcBorders>
              <w:top w:val="single" w:color="2E6FDB" w:sz="1"/>
              <w:left w:val="single" w:color="2E6FDB" w:sz="1"/>
              <w:bottom w:val="single" w:color="2E6FDB" w:sz="1"/>
              <w:right w:val="single" w:color="2E6FDB" w:sz="1"/>
            </w:tcBorders>
            <w:shd w:fill="1E3A5F" w:val="clear"/>
            <w:tcMar>
              <w:top w:type="dxa" w:w="80"/>
              <w:left w:type="dxa" w:w="80"/>
              <w:bottom w:type="dxa" w:w="80"/>
              <w:right w:type="dxa" w:w="80"/>
            </w:tcMar>
          </w:tcPr>
          <w:p>
            <w:r>
              <w:rPr>
                <w:rFonts w:ascii="Arial" w:cs="Arial" w:eastAsia="Arial" w:hAnsi="Arial"/>
                <w:b/>
                <w:bCs/>
                <w:color w:val="FFFFFF"/>
                <w:sz w:val="19"/>
                <w:szCs w:val="19"/>
              </w:rPr>
              <w:t xml:space="preserve">Design tested</w:t>
            </w:r>
          </w:p>
        </w:tc>
        <w:tc>
          <w:tcPr>
            <w:tcW w:type="dxa" w:w="1960"/>
            <w:tcBorders>
              <w:top w:val="single" w:color="2E6FDB" w:sz="1"/>
              <w:left w:val="single" w:color="2E6FDB" w:sz="1"/>
              <w:bottom w:val="single" w:color="2E6FDB" w:sz="1"/>
              <w:right w:val="single" w:color="2E6FDB" w:sz="1"/>
            </w:tcBorders>
            <w:shd w:fill="1E3A5F" w:val="clear"/>
            <w:tcMar>
              <w:top w:type="dxa" w:w="80"/>
              <w:left w:type="dxa" w:w="80"/>
              <w:bottom w:type="dxa" w:w="80"/>
              <w:right w:type="dxa" w:w="80"/>
            </w:tcMar>
          </w:tcPr>
          <w:p>
            <w:r>
              <w:rPr>
                <w:rFonts w:ascii="Arial" w:cs="Arial" w:eastAsia="Arial" w:hAnsi="Arial"/>
                <w:b/>
                <w:bCs/>
                <w:color w:val="FFFFFF"/>
                <w:sz w:val="19"/>
                <w:szCs w:val="19"/>
              </w:rPr>
              <w:t xml:space="preserve">Participants</w:t>
            </w:r>
          </w:p>
        </w:tc>
        <w:tc>
          <w:tcPr>
            <w:tcW w:type="dxa" w:w="1960"/>
            <w:tcBorders>
              <w:top w:val="single" w:color="2E6FDB" w:sz="1"/>
              <w:left w:val="single" w:color="2E6FDB" w:sz="1"/>
              <w:bottom w:val="single" w:color="2E6FDB" w:sz="1"/>
              <w:right w:val="single" w:color="2E6FDB" w:sz="1"/>
            </w:tcBorders>
            <w:shd w:fill="1E3A5F" w:val="clear"/>
            <w:tcMar>
              <w:top w:type="dxa" w:w="80"/>
              <w:left w:type="dxa" w:w="80"/>
              <w:bottom w:type="dxa" w:w="80"/>
              <w:right w:type="dxa" w:w="80"/>
            </w:tcMar>
          </w:tcPr>
          <w:p>
            <w:r>
              <w:rPr>
                <w:rFonts w:ascii="Arial" w:cs="Arial" w:eastAsia="Arial" w:hAnsi="Arial"/>
                <w:b/>
                <w:bCs/>
                <w:color w:val="FFFFFF"/>
                <w:sz w:val="19"/>
                <w:szCs w:val="19"/>
              </w:rPr>
              <w:t xml:space="preserve">Key outcome</w:t>
            </w:r>
          </w:p>
        </w:tc>
      </w:tr>
      <w:tr>
        <w:tc>
          <w:tcPr>
            <w:tcW w:type="dxa" w:w="144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1</w:t>
            </w:r>
          </w:p>
        </w:tc>
        <w:tc>
          <w:tcPr>
            <w:tcW w:type="dxa" w:w="200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Moderated semi-structured</w:t>
            </w:r>
          </w:p>
        </w:tc>
        <w:tc>
          <w:tcPr>
            <w:tcW w:type="dxa" w:w="200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Initial prototype + AI deep-dive</w:t>
            </w:r>
          </w:p>
        </w:tc>
        <w:tc>
          <w:tcPr>
            <w:tcW w:type="dxa" w:w="196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6 (3F/3M, 36-50)</w:t>
            </w:r>
          </w:p>
        </w:tc>
        <w:tc>
          <w:tcPr>
            <w:tcW w:type="dxa" w:w="196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Surfaced calculation opacity and edit affordance failure</w:t>
            </w:r>
          </w:p>
        </w:tc>
      </w:tr>
      <w:tr>
        <w:tc>
          <w:tcPr>
            <w:tcW w:type="dxa" w:w="144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2</w:t>
            </w:r>
          </w:p>
        </w:tc>
        <w:tc>
          <w:tcPr>
            <w:tcW w:type="dxa" w:w="200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Unmoderated comparative</w:t>
            </w:r>
          </w:p>
        </w:tc>
        <w:tc>
          <w:tcPr>
            <w:tcW w:type="dxa" w:w="200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Control vs Variant</w:t>
            </w:r>
          </w:p>
        </w:tc>
        <w:tc>
          <w:tcPr>
            <w:tcW w:type="dxa" w:w="196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10 (6F/4M, 25-51)</w:t>
            </w:r>
          </w:p>
        </w:tc>
        <w:tc>
          <w:tcPr>
            <w:tcW w:type="dxa" w:w="196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60% preferred Variant; 40% overwhelmed; users requested hybrid</w:t>
            </w:r>
          </w:p>
        </w:tc>
      </w:tr>
      <w:tr>
        <w:tc>
          <w:tcPr>
            <w:tcW w:type="dxa" w:w="144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3</w:t>
            </w:r>
          </w:p>
        </w:tc>
        <w:tc>
          <w:tcPr>
            <w:tcW w:type="dxa" w:w="200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Unmoderated comparative</w:t>
            </w:r>
          </w:p>
        </w:tc>
        <w:tc>
          <w:tcPr>
            <w:tcW w:type="dxa" w:w="200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Control vs Hybrid</w:t>
            </w:r>
          </w:p>
        </w:tc>
        <w:tc>
          <w:tcPr>
            <w:tcW w:type="dxa" w:w="196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10 (4F/6M, 25-50)</w:t>
            </w:r>
          </w:p>
        </w:tc>
        <w:tc>
          <w:tcPr>
            <w:tcW w:type="dxa" w:w="1960"/>
            <w:tcBorders>
              <w:top w:val="single" w:color="D1D5DB" w:sz="1"/>
              <w:left w:val="single" w:color="D1D5DB" w:sz="1"/>
              <w:bottom w:val="single" w:color="D1D5DB" w:sz="1"/>
              <w:right w:val="single" w:color="D1D5DB" w:sz="1"/>
            </w:tcBorders>
            <w:tcMar>
              <w:top w:type="dxa" w:w="80"/>
              <w:left w:type="dxa" w:w="80"/>
              <w:bottom w:type="dxa" w:w="80"/>
              <w:right w:type="dxa" w:w="80"/>
            </w:tcMar>
          </w:tcPr>
          <w:p>
            <w:r>
              <w:rPr>
                <w:rFonts w:ascii="Arial" w:cs="Arial" w:eastAsia="Arial" w:hAnsi="Arial"/>
                <w:color w:val="111111"/>
                <w:sz w:val="19"/>
                <w:szCs w:val="19"/>
              </w:rPr>
              <w:t xml:space="preserve">90% preferred Hybrid; Left to Spend = primary decision metric</w:t>
            </w:r>
          </w:p>
        </w:tc>
      </w:tr>
    </w:tbl>
    <w:p>
      <w:pPr>
        <w:spacing w:after="0" w:before="120"/>
      </w:pPr>
    </w:p>
    <w:p>
      <w:pPr>
        <w:pStyle w:val="Heading2"/>
        <w:spacing w:after="120" w:before="280"/>
      </w:pPr>
      <w:r>
        <w:rPr>
          <w:rFonts w:ascii="Arial" w:cs="Arial" w:eastAsia="Arial" w:hAnsi="Arial"/>
          <w:b/>
          <w:bCs/>
          <w:color w:val="1E3A5F"/>
        </w:rPr>
        <w:t xml:space="preserve">A.2  Selected participant quotes</w:t>
      </w:r>
    </w:p>
    <w:p>
      <w:pPr>
        <w:pStyle w:val="ListParagraph"/>
        <w:numPr>
          <w:ilvl w:val="0"/>
          <w:numId w:val="2"/>
        </w:numPr>
        <w:spacing w:after="60" w:before="40"/>
      </w:pPr>
      <w:r>
        <w:rPr>
          <w:rFonts w:ascii="Arial" w:cs="Arial" w:eastAsia="Arial" w:hAnsi="Arial"/>
          <w:color w:val="111111"/>
          <w:sz w:val="22"/>
          <w:szCs w:val="22"/>
        </w:rPr>
        <w:t xml:space="preserve">"It's like your personalised actual financial planner." — P1, Round 1</w:t>
      </w:r>
    </w:p>
    <w:p>
      <w:pPr>
        <w:pStyle w:val="ListParagraph"/>
        <w:numPr>
          <w:ilvl w:val="0"/>
          <w:numId w:val="2"/>
        </w:numPr>
        <w:spacing w:after="60" w:before="40"/>
      </w:pPr>
      <w:r>
        <w:rPr>
          <w:rFonts w:ascii="Arial" w:cs="Arial" w:eastAsia="Arial" w:hAnsi="Arial"/>
          <w:color w:val="111111"/>
          <w:sz w:val="22"/>
          <w:szCs w:val="22"/>
        </w:rPr>
        <w:t xml:space="preserve">"What I want to know is what I've got left over taking all of those bills into account." — P8, Round 2</w:t>
      </w:r>
    </w:p>
    <w:p>
      <w:pPr>
        <w:pStyle w:val="ListParagraph"/>
        <w:numPr>
          <w:ilvl w:val="0"/>
          <w:numId w:val="2"/>
        </w:numPr>
        <w:spacing w:after="60" w:before="40"/>
      </w:pPr>
      <w:r>
        <w:rPr>
          <w:rFonts w:ascii="Arial" w:cs="Arial" w:eastAsia="Arial" w:hAnsi="Arial"/>
          <w:color w:val="111111"/>
          <w:sz w:val="22"/>
          <w:szCs w:val="22"/>
        </w:rPr>
        <w:t xml:space="preserve">"It tells me how to do things as opposed to just telling me what there is." — P1, Round 2</w:t>
      </w:r>
    </w:p>
    <w:p>
      <w:pPr>
        <w:pStyle w:val="ListParagraph"/>
        <w:numPr>
          <w:ilvl w:val="0"/>
          <w:numId w:val="2"/>
        </w:numPr>
        <w:spacing w:after="60" w:before="40"/>
      </w:pPr>
      <w:r>
        <w:rPr>
          <w:rFonts w:ascii="Arial" w:cs="Arial" w:eastAsia="Arial" w:hAnsi="Arial"/>
          <w:color w:val="111111"/>
          <w:sz w:val="22"/>
          <w:szCs w:val="22"/>
        </w:rPr>
        <w:t xml:space="preserve">"It's a much more accurate way of getting what is available to spend because it's including upcoming bills." — P2, Round 3</w:t>
      </w:r>
    </w:p>
    <w:p>
      <w:pPr>
        <w:pStyle w:val="ListParagraph"/>
        <w:numPr>
          <w:ilvl w:val="0"/>
          <w:numId w:val="2"/>
        </w:numPr>
        <w:spacing w:after="60" w:before="40"/>
      </w:pPr>
      <w:r>
        <w:rPr>
          <w:rFonts w:ascii="Arial" w:cs="Arial" w:eastAsia="Arial" w:hAnsi="Arial"/>
          <w:color w:val="111111"/>
          <w:sz w:val="22"/>
          <w:szCs w:val="22"/>
        </w:rPr>
        <w:t xml:space="preserve">"I do something similar on a spreadsheet where I have to do it all myself. This would be very useful." — P9, Round 3</w:t>
      </w:r>
    </w:p>
    <w:p>
      <w:pPr>
        <w:spacing w:after="0" w:before="240"/>
      </w:pPr>
    </w:p>
    <w:p>
      <w:pPr>
        <w:pBdr>
          <w:bottom w:val="single" w:color="D1D5DB" w:sz="4" w:space="1"/>
        </w:pBdr>
        <w:spacing w:after="160" w:before="160"/>
      </w:pPr>
    </w:p>
    <w:p>
      <w:pPr>
        <w:spacing w:after="100" w:before="60"/>
        <w:jc w:val="center"/>
      </w:pPr>
      <w:r>
        <w:rPr>
          <w:rFonts w:ascii="Arial" w:cs="Arial" w:eastAsia="Arial" w:hAnsi="Arial"/>
          <w:b w:val="false"/>
          <w:bCs w:val="false"/>
          <w:color w:val="6B7280"/>
          <w:sz w:val="22"/>
          <w:szCs w:val="22"/>
        </w:rPr>
        <w:t xml:space="preserve">Document version 1.0  |  May 2026  |  Matti Hicks  |  Backbase Financial Wellness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360"/>
      </w:tabs>
      <w:spacing w:before="120"/>
    </w:pPr>
    <w:r>
      <w:rPr>
        <w:rFonts w:ascii="Arial" w:cs="Arial" w:eastAsia="Arial" w:hAnsi="Arial"/>
        <w:color w:val="6B7280"/>
        <w:sz w:val="18"/>
        <w:szCs w:val="18"/>
      </w:rPr>
      <w:t xml:space="preserve">Matti Hicks  |  Senior UX Designer &amp; Researcher</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6"/>
      </w:pBdr>
      <w:tabs>
        <w:tab w:val="right" w:pos="9360"/>
      </w:tabs>
      <w:spacing w:after="120"/>
    </w:pPr>
    <w:r>
      <w:rPr>
        <w:rFonts w:ascii="Arial" w:cs="Arial" w:eastAsia="Arial" w:hAnsi="Arial"/>
        <w:color w:val="6B7280"/>
        <w:sz w:val="18"/>
        <w:szCs w:val="18"/>
      </w:rPr>
      <w:t xml:space="preserve">AI-Powered Financial Insights Dashboard  |  Product Requirements Document</w:t>
    </w:r>
    <w:r>
      <w:rPr>
        <w:rFonts w:ascii="Arial" w:cs="Arial" w:eastAsia="Arial" w:hAnsi="Arial"/>
        <w:sz w:val="18"/>
        <w:szCs w:val="18"/>
      </w:rPr>
      <w:t xml:space="preserve">	</w:t>
    </w:r>
    <w:r>
      <w:rPr>
        <w:rFonts w:ascii="Arial" w:cs="Arial" w:eastAsia="Arial" w:hAnsi="Arial"/>
        <w:b/>
        <w:bCs/>
        <w:color w:val="2E6FD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2026-05-03T10:30:38.292Z</dcterms:created>
  <dcterms:modified xsi:type="dcterms:W3CDTF">2026-05-03T10:30:38.293Z</dcterms:modified>
</cp:coreProperties>
</file>

<file path=docProps/custom.xml><?xml version="1.0" encoding="utf-8"?>
<Properties xmlns="http://schemas.openxmlformats.org/officeDocument/2006/custom-properties" xmlns:vt="http://schemas.openxmlformats.org/officeDocument/2006/docPropsVTypes"/>
</file>