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Expression Templates in OpenFOAM</w:t>
      </w:r>
    </w:p>
    <w:p>
      <w:pPr>
        <w:pStyle w:val="Normal"/>
        <w:jc w:val="center"/>
        <w:rPr/>
      </w:pPr>
      <w:r>
        <w:rPr/>
      </w:r>
    </w:p>
    <w:p>
      <w:pPr>
        <w:pStyle w:val="Sub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Mattijs Janssens</w:t>
      </w:r>
      <w:r>
        <w:rPr>
          <w:rFonts w:ascii="Times New Roman" w:hAnsi="Times New Roman"/>
          <w:vertAlign w:val="superscript"/>
        </w:rPr>
        <w:t>1</w:t>
      </w:r>
    </w:p>
    <w:p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vertAlign w:val="superscript"/>
        </w:rPr>
        <w:t>1</w:t>
      </w:r>
      <w:r>
        <w:rPr>
          <w:rFonts w:ascii="Times New Roman" w:hAnsi="Times New Roman"/>
          <w:sz w:val="22"/>
          <w:szCs w:val="22"/>
        </w:rPr>
        <w:t>ESI-O</w:t>
      </w:r>
      <w:r>
        <w:rPr>
          <w:rFonts w:ascii="Times New Roman" w:hAnsi="Times New Roman"/>
          <w:sz w:val="22"/>
          <w:szCs w:val="22"/>
        </w:rPr>
        <w:t>penCFD, ext-mjanssens@esi-group.com</w:t>
      </w:r>
    </w:p>
    <w:p>
      <w:pPr>
        <w:pStyle w:val="Affiliation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bstract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Keywords:</w:t>
      </w:r>
      <w:r>
        <w:rPr>
          <w:rFonts w:ascii="Times New Roman" w:hAnsi="Times New Roman"/>
        </w:rPr>
        <w:t xml:space="preserve"> C++, expression templates, GPU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abstract describes implementing expression templates in OpenFOAM. OpenFOAM is implemented to allow </w:t>
      </w:r>
      <w:r>
        <w:rPr>
          <w:rFonts w:ascii="Times New Roman" w:hAnsi="Times New Roman"/>
        </w:rPr>
        <w:t xml:space="preserve">finite-volume modelling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</w:rPr>
        <w:t>ing an</w:t>
      </w:r>
      <w:r>
        <w:rPr>
          <w:rFonts w:ascii="Times New Roman" w:hAnsi="Times New Roman"/>
        </w:rPr>
        <w:t xml:space="preserve"> expression-like syntax. This comes with an overhead in terms of memory management. Especially in  modern computer architectures there is a large mismatch between the processing speed of the computation unit and the memory access speed, especially latency. This can be mitigated by increasing the memory speed through e.g. fast-memory caching or by making the bottom level implementation more memory-access aware. In this work we demonstrate a near-transparent implementation of </w:t>
      </w:r>
      <w:r>
        <w:rPr>
          <w:rFonts w:ascii="Times New Roman" w:hAnsi="Times New Roman"/>
        </w:rPr>
        <w:t>the latter</w:t>
      </w:r>
      <w:r>
        <w:rPr>
          <w:rFonts w:ascii="Times New Roman" w:hAnsi="Times New Roman"/>
        </w:rPr>
        <w:t xml:space="preserve"> using modern C++.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title"/>
        <w:rPr/>
      </w:pPr>
      <w:r>
        <w:rPr/>
        <w:t>Expression Templates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expression templates any expression becomes an instantiation of a templated class. Each class implements the indexing operator ‘[]’. </w:t>
      </w:r>
      <w:r>
        <w:rPr>
          <w:rFonts w:ascii="Times New Roman" w:hAnsi="Times New Roman"/>
        </w:rPr>
        <w:t>Only when ‘evaluating’ the expression is this actual `[]’ operator used. Consider a typical OpenFOAM expression</w:t>
      </w:r>
    </w:p>
    <w:p>
      <w:pPr>
        <w:pStyle w:val="Normal"/>
        <w:rPr/>
      </w:pPr>
      <w:r>
        <w:rPr/>
      </w:r>
    </w:p>
    <w:p>
      <w:pPr>
        <w:pStyle w:val="Normal"/>
        <w:ind w:left="567"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scalarField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</m:oMath>
      <w:r>
        <w:rPr/>
        <w:tab/>
        <w:tab/>
        <w:tab/>
        <w:tab/>
        <w:tab/>
        <w:tab/>
        <w:tab/>
        <w:t>(1)</w:t>
      </w:r>
    </w:p>
    <w:p>
      <w:pPr>
        <w:pStyle w:val="Normal"/>
        <w:ind w:left="567"/>
        <w:jc w:val="right"/>
        <w:rPr/>
      </w:pPr>
      <w:r>
        <w:rPr/>
      </w:r>
    </w:p>
    <w:p>
      <w:pPr>
        <w:pStyle w:val="Normal"/>
        <w:rPr/>
      </w:pP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>Thi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s will allocate a temporary for the result of multiplying B 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and 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>C, apply the square root operation to it and assign the contents to A</w:t>
      </w:r>
      <w:r>
        <w:rPr/>
        <w:t xml:space="preserve">. </w:t>
      </w:r>
      <w:r>
        <w:rPr/>
        <w:t xml:space="preserve">Using expression templating a class hierarchy is built up 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67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class</m:t>
          </m:r>
          <m:r>
            <w:rPr>
              <w:rFonts w:ascii="Cambria Math" w:hAnsi="Cambria Math"/>
            </w:rPr>
            <m:t xml:space="preserve">subtract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multiply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scalar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scalar</m:t>
          </m:r>
          <m:r>
            <w:rPr>
              <w:rFonts w:ascii="Cambria Math" w:hAnsi="Cambria Math"/>
            </w:rPr>
            <m:t xml:space="preserve">&gt;</m:t>
          </m:r>
        </m:oMath>
      </m:oMathPara>
    </w:p>
    <w:p>
      <w:pPr>
        <w:pStyle w:val="Normal"/>
        <w:ind w:left="567"/>
        <w:jc w:val="right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where 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>its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 indexing operator `[]` does the actual work: b[i]*c[i]-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>d[i]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 xml:space="preserve">. </w:t>
      </w:r>
      <w:r>
        <w:rPr>
          <w:rFonts w:eastAsia="Times New Roman" w:cs="Calibri" w:ascii="Times New Roman" w:hAnsi="Times New Roman"/>
          <w:color w:val="000000"/>
          <w:kern w:val="0"/>
          <w:sz w:val="20"/>
          <w:szCs w:val="20"/>
          <w:lang w:val="en-GB" w:eastAsia="en-US" w:bidi="ar-SA"/>
        </w:rPr>
        <w:t>To keep a choice between ‘normal’ field algebra and expression templating the relevant containers have been extended with a function to ‘wrap’ the contents in an expression form. Above expression can hence be written as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67"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scalarField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expr</m:t>
        </m:r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expr</m:t>
        </m:r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expr</m:t>
        </m:r>
        <m:d>
          <m:dPr>
            <m:begChr m:val="("/>
            <m:endChr m:val=")"/>
          </m:dPr>
        </m:d>
      </m:oMath>
      <w:r>
        <w:rPr/>
        <w:tab/>
        <w:tab/>
        <w:tab/>
        <w:tab/>
        <w:tab/>
        <w:tab/>
        <w:tab/>
        <w:t>(1)</w:t>
      </w:r>
    </w:p>
    <w:p>
      <w:pPr>
        <w:pStyle w:val="Normal"/>
        <w:ind w:left="567"/>
        <w:jc w:val="right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same syntax can also be used for GeometricFields (field plus boundary conditions) </w:t>
      </w:r>
      <w:r>
        <w:rPr>
          <w:rFonts w:ascii="Times New Roman" w:hAnsi="Times New Roman"/>
        </w:rPr>
        <w:t>and the most often used containers. There are two categories: can they be wrapped into expressions and can they be assigned to using an expression (as in above expression)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1: </w:t>
      </w:r>
      <w:r>
        <w:rPr>
          <w:rFonts w:ascii="Times New Roman" w:hAnsi="Times New Roman"/>
        </w:rPr>
        <w:t>Container expression template support</w:t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5"/>
        <w:gridCol w:w="2340"/>
        <w:gridCol w:w="2355"/>
      </w:tblGrid>
      <w:tr>
        <w:trPr/>
        <w:tc>
          <w:tcPr>
            <w:tcW w:w="4815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Class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Expression</w:t>
            </w:r>
          </w:p>
        </w:tc>
        <w:tc>
          <w:tcPr>
            <w:tcW w:w="2355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Assignment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List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Field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GeometricField (e.g. volScalarField, surfaceVectorField)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tmp&lt;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Field&gt;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no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tmp&lt;GeometricField&gt;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</w:r>
          </w:p>
        </w:tc>
      </w:tr>
      <w:tr>
        <w:trPr>
          <w:trHeight w:val="183" w:hRule="atLeast"/>
        </w:trPr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 xml:space="preserve">DimensionedType (for constant 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Field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expr(&lt;size&gt;)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no</w:t>
            </w:r>
          </w:p>
        </w:tc>
      </w:tr>
      <w:tr>
        <w:trPr>
          <w:trHeight w:val="183" w:hRule="atLeast"/>
        </w:trPr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DimensonedType (for constant GeometricField)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expr(&lt;GeoField&gt;)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no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fvMatrix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expr()</w:t>
            </w:r>
          </w:p>
        </w:tc>
        <w:tc>
          <w:tcPr>
            <w:tcW w:w="235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Above framework supports most functions (e.g. min, sqrt). The exception is the fvMatrix expression class which only supports linear operations.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title"/>
        <w:rPr/>
      </w:pPr>
      <w:r>
        <w:rPr/>
        <w:t>Typical Application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 typical use of above expression template would be in complex modelling. A</w:t>
      </w:r>
      <w:r>
        <w:rPr>
          <w:rFonts w:ascii="Times New Roman" w:hAnsi="Times New Roman"/>
        </w:rPr>
        <w:t>s a test the kOmegeSST turbulence model has been fitted with above expressions. E.g. original code: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tmp&lt;volScalarField&gt; arg1 = min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min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max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(scalar(1)/betaStar_)*sqrt(k_)/(omega_*y_),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scalar(500)*(this-&gt;mu()/this-&gt;rho_)/(sqr(y_)*omega_)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(4*alphaOmega2_)*k_/(CDkOmegaPlus*sqr(y_))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),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scalar(10)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tanh(pow4(arg1));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In expression template form this becomes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auto arg1 = min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(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min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(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max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(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    </w:t>
      </w:r>
      <w:r>
        <w:rPr/>
        <w:t>(one/betaStar)*sqrt(k_.expr())/(omega_.expr()*y_.expr()),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    </w:t>
      </w:r>
      <w:r>
        <w:rPr/>
        <w:t>fiveHundred*(this-&gt;mu().expr()/this-&gt;rho_.expr())/(sqr(y_.expr())*omega_.expr())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),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    </w:t>
      </w:r>
      <w:r>
        <w:rPr/>
        <w:t>volConstant(dummy, 4*alphaOmega2_)*k_.expr()/(CDkOmegaPlus*sqr(y_.expr()))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),</w:t>
      </w:r>
    </w:p>
    <w:p>
      <w:pPr>
        <w:pStyle w:val="Normal"/>
        <w:rPr>
          <w:rFonts w:ascii="Times New Roman" w:hAnsi="Times New Roman"/>
        </w:rPr>
      </w:pPr>
      <w:r>
        <w:rPr/>
        <w:t xml:space="preserve">        </w:t>
      </w:r>
      <w:r>
        <w:rPr/>
        <w:t>volConstant(dummy, 10)</w:t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 xml:space="preserve">    </w:t>
      </w:r>
      <w:r>
        <w:rPr/>
        <w:t>return tanh(pow4(arg1));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  <w:t>In above code excerpt `volConstant’ stands for a constants volScalarField.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Subtitle"/>
        <w:rPr/>
      </w:pPr>
      <w:r>
        <w:rPr/>
        <w:t>Future WORK</w:t>
      </w:r>
    </w:p>
    <w:p>
      <w:pPr>
        <w:pStyle w:val="Normal"/>
        <w:rPr/>
      </w:pPr>
      <w:r>
        <w:rPr/>
        <w:t xml:space="preserve">The expression template framework has been extended to use parallel execution through the C++17 ‘execution policy’ construct. This requires changing a single loop only (in the expression template evaluation for the basic `List’ container) since all the work is done through the indexing operator[]. This will benefit vectorisation and/or GPU offloading. </w:t>
      </w:r>
      <w:r>
        <w:rPr/>
        <w:t>The other ongoing effort is to move the expression templates further up into the code into the actual discretisation: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Discretisation support</w:t>
      </w:r>
    </w:p>
    <w:p>
      <w:pPr>
        <w:pStyle w:val="OFWCaptio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5"/>
        <w:gridCol w:w="4695"/>
      </w:tblGrid>
      <w:tr>
        <w:trPr/>
        <w:tc>
          <w:tcPr>
            <w:tcW w:w="4815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Function</w:t>
            </w:r>
          </w:p>
        </w:tc>
        <w:tc>
          <w:tcPr>
            <w:tcW w:w="4695" w:type="dxa"/>
            <w:tcBorders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Cs w:val="false"/>
                <w:sz w:val="22"/>
              </w:rPr>
            </w:pPr>
            <w:r>
              <w:rPr>
                <w:rFonts w:ascii="Times New Roman" w:hAnsi="Times New Roman"/>
                <w:bCs w:val="false"/>
                <w:kern w:val="0"/>
                <w:sz w:val="22"/>
                <w:szCs w:val="20"/>
                <w:lang w:bidi="ar-SA"/>
              </w:rPr>
              <w:t>Returns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Interpolation</w:t>
            </w:r>
          </w:p>
        </w:tc>
        <w:tc>
          <w:tcPr>
            <w:tcW w:w="469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expression template</w:t>
            </w:r>
          </w:p>
        </w:tc>
      </w:tr>
      <w:tr>
        <w:trPr/>
        <w:tc>
          <w:tcPr>
            <w:tcW w:w="481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uncorrected Gauss Laplacian</w:t>
            </w:r>
          </w:p>
        </w:tc>
        <w:tc>
          <w:tcPr>
            <w:tcW w:w="4695" w:type="dxa"/>
            <w:tcBorders>
              <w:top w:val="nil"/>
              <w:left w:val="nil"/>
              <w:right w:val="nil"/>
            </w:tcBorders>
          </w:tcPr>
          <w:p>
            <w:pPr>
              <w:pStyle w:val="OFWCaption"/>
              <w:widowControl/>
              <w:spacing w:before="0" w:after="0"/>
              <w:rPr>
                <w:rFonts w:ascii="Times New Roman" w:hAnsi="Times New Roman"/>
                <w:b w:val="false"/>
                <w:bCs w:val="false"/>
                <w:sz w:val="20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</w:rPr>
              <w:t>fvMatrix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Acknowledgements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/>
      </w:pPr>
      <w:r>
        <w:rPr>
          <w:rFonts w:ascii="Times New Roman" w:hAnsi="Times New Roman"/>
        </w:rPr>
        <w:t>The authors thank all those involved in the organisation of this OpenFOAM Workshop and to all the contributors that will enrich this event.</w:t>
      </w:r>
      <w:r>
        <w:rPr/>
        <w:t xml:space="preserve"> 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</w:t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ReferenceList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OpenCFD, OpenFOAM: The Open Source CFD Toolbox. User Guide Version 1.4, OpenCFD Limited. Reading UK, Apr. 2007. </w:t>
      </w:r>
    </w:p>
    <w:p>
      <w:pPr>
        <w:pStyle w:val="ReferenceList"/>
        <w:numPr>
          <w:ilvl w:val="0"/>
          <w:numId w:val="0"/>
        </w:numPr>
        <w:ind w:hanging="0" w:left="720"/>
        <w:jc w:val="both"/>
        <w:rPr/>
      </w:pPr>
      <w:r>
        <w:rPr/>
      </w:r>
    </w:p>
    <w:p>
      <w:pPr>
        <w:pStyle w:val="ReferenceList"/>
        <w:spacing w:before="0" w:after="60"/>
        <w:ind w:hanging="426" w:left="426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680" w:top="1134" w:footer="567" w:bottom="1134"/>
      <w:pgNumType w:fmt="decimal"/>
      <w:formProt w:val="false"/>
      <w:textDirection w:val="lrTb"/>
      <w:docGrid w:type="default" w:linePitch="360" w:charSpace="98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Berthold Akzidenz Grotes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93995194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939951948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5367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80.7pt;margin-top:0.05pt;width:1.1pt;height:12.05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53670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80.7pt;margin-top:0.05pt;width:1.1pt;height:12.05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imes New Roman" w:hAnsi="Times New Roman" w:cs="Times New Roman"/>
        <w:color w:val="auto"/>
        <w:sz w:val="20"/>
      </w:rPr>
    </w:pPr>
    <w:r>
      <w:rPr>
        <w:rFonts w:cs="Times New Roman" w:ascii="Times New Roman" w:hAnsi="Times New Roman"/>
        <w:color w:val="auto"/>
        <w:sz w:val="20"/>
      </w:rPr>
      <w:t>The 13th OpenFOAM Workshop (OFW13), June 24-29, 2018, Shanghai, China</w:t>
    </w:r>
  </w:p>
  <w:p>
    <w:pPr>
      <w:pStyle w:val="Header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imes New Roman" w:hAnsi="Times New Roman" w:cs="Times New Roman"/>
        <w:color w:val="auto"/>
        <w:sz w:val="20"/>
      </w:rPr>
    </w:pPr>
    <w:r>
      <w:rPr>
        <w:rFonts w:cs="Times New Roman" w:ascii="Times New Roman" w:hAnsi="Times New Roman"/>
        <w:color w:val="auto"/>
        <w:sz w:val="20"/>
      </w:rPr>
      <w:t>The 20</w:t>
    </w:r>
    <w:r>
      <w:rPr>
        <w:rFonts w:cs="Times New Roman" w:ascii="Times New Roman" w:hAnsi="Times New Roman"/>
        <w:i/>
        <w:iCs/>
        <w:color w:val="auto"/>
        <w:sz w:val="20"/>
        <w:vertAlign w:val="superscript"/>
      </w:rPr>
      <w:t>th</w:t>
    </w:r>
    <w:r>
      <w:rPr>
        <w:rFonts w:cs="Times New Roman" w:ascii="Times New Roman" w:hAnsi="Times New Roman"/>
        <w:color w:val="auto"/>
        <w:sz w:val="20"/>
      </w:rPr>
      <w:t xml:space="preserve"> OpenFOAM Workshop (OFW20), 30 June – 4 July 2025, Vienna, Austria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imes New Roman" w:hAnsi="Times New Roman" w:cs="Times New Roman"/>
        <w:color w:val="auto"/>
        <w:sz w:val="20"/>
      </w:rPr>
    </w:pPr>
    <w:r>
      <w:rPr>
        <w:rFonts w:cs="Times New Roman" w:ascii="Times New Roman" w:hAnsi="Times New Roman"/>
        <w:color w:val="auto"/>
        <w:sz w:val="20"/>
      </w:rPr>
      <w:t>The 20</w:t>
    </w:r>
    <w:r>
      <w:rPr>
        <w:rFonts w:cs="Times New Roman" w:ascii="Times New Roman" w:hAnsi="Times New Roman"/>
        <w:i/>
        <w:iCs/>
        <w:color w:val="auto"/>
        <w:sz w:val="20"/>
        <w:vertAlign w:val="superscript"/>
      </w:rPr>
      <w:t>th</w:t>
    </w:r>
    <w:r>
      <w:rPr>
        <w:rFonts w:cs="Times New Roman" w:ascii="Times New Roman" w:hAnsi="Times New Roman"/>
        <w:color w:val="auto"/>
        <w:sz w:val="20"/>
      </w:rPr>
      <w:t xml:space="preserve"> OpenFOAM Workshop (OFW20), 30 June – 4 July 2025, Vienna, Austria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6af0"/>
    <w:pPr>
      <w:widowControl/>
      <w:suppressAutoHyphens w:val="true"/>
      <w:bidi w:val="0"/>
      <w:spacing w:before="0" w:after="0"/>
      <w:jc w:val="both"/>
    </w:pPr>
    <w:rPr>
      <w:rFonts w:ascii="Calibri" w:hAnsi="Calibri" w:eastAsia="Times New Roman" w:cs="Calibri"/>
      <w:color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rsid w:val="007f04eb"/>
    <w:pPr>
      <w:keepNext w:val="true"/>
      <w:spacing w:before="240" w:after="60"/>
      <w:ind w:hanging="431" w:left="43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7f04eb"/>
    <w:pPr>
      <w:keepNext w:val="true"/>
      <w:spacing w:before="240" w:after="0"/>
      <w:ind w:hanging="578" w:left="578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7f04eb"/>
    <w:pPr>
      <w:keepNext w:val="true"/>
      <w:spacing w:before="120" w:after="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qFormat/>
    <w:rsid w:val="00d72036"/>
    <w:pPr>
      <w:keepNext w:val="true"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720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72036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d7203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7203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72036"/>
    <w:pPr>
      <w:spacing w:before="240" w:after="60"/>
      <w:outlineLvl w:val="8"/>
    </w:pPr>
    <w:rPr>
      <w:rFonts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d72036"/>
    <w:rPr/>
  </w:style>
  <w:style w:type="character" w:styleId="Hyperlink">
    <w:name w:val="Hyperlink"/>
    <w:basedOn w:val="DefaultParagraphFont"/>
    <w:unhideWhenUsed/>
    <w:rsid w:val="00db1218"/>
    <w:rPr>
      <w:color w:themeColor="hyperlink" w:val="0000FF"/>
      <w:u w:val="single"/>
    </w:rPr>
  </w:style>
  <w:style w:type="character" w:styleId="BalloonTextChar" w:customStyle="1">
    <w:name w:val="Balloon Text Char"/>
    <w:link w:val="BalloonText"/>
    <w:qFormat/>
    <w:rsid w:val="004e0d0f"/>
    <w:rPr>
      <w:rFonts w:ascii="Tahoma" w:hAnsi="Tahoma" w:cs="Tahoma"/>
      <w:sz w:val="16"/>
      <w:szCs w:val="16"/>
      <w:lang w:val="hr-HR" w:eastAsia="en-US"/>
    </w:rPr>
  </w:style>
  <w:style w:type="character" w:styleId="TitleChar" w:customStyle="1">
    <w:name w:val="Title Char"/>
    <w:link w:val="Title"/>
    <w:qFormat/>
    <w:rsid w:val="007f04eb"/>
    <w:rPr>
      <w:rFonts w:ascii="Calibri" w:hAnsi="Calibri" w:cs="Calibri"/>
      <w:b/>
      <w:caps/>
      <w:color w:val="000000"/>
      <w:sz w:val="24"/>
      <w:szCs w:val="24"/>
      <w:lang w:val="en-GB" w:eastAsia="en-US"/>
    </w:rPr>
  </w:style>
  <w:style w:type="character" w:styleId="SubtitleChar" w:customStyle="1">
    <w:name w:val="Subtitle Char"/>
    <w:link w:val="Subtitle"/>
    <w:qFormat/>
    <w:rsid w:val="007f04eb"/>
    <w:rPr>
      <w:rFonts w:ascii="Calibri" w:hAnsi="Calibri" w:cs="Calibri"/>
      <w:caps/>
      <w:color w:val="000000"/>
      <w:sz w:val="22"/>
      <w:szCs w:val="22"/>
      <w:lang w:val="en-GB" w:eastAsia="en-US"/>
    </w:rPr>
  </w:style>
  <w:style w:type="character" w:styleId="AffiliationChar" w:customStyle="1">
    <w:name w:val="Affiliation Char"/>
    <w:link w:val="Affiliation"/>
    <w:qFormat/>
    <w:rsid w:val="00ab6af0"/>
    <w:rPr>
      <w:rFonts w:ascii="Calibri" w:hAnsi="Calibri" w:cs="Calibri"/>
      <w:i/>
      <w:color w:val="000000"/>
      <w:sz w:val="22"/>
      <w:lang w:val="en-GB" w:eastAsia="en-US"/>
    </w:rPr>
  </w:style>
  <w:style w:type="character" w:styleId="AbstracttextChar" w:customStyle="1">
    <w:name w:val="Abstract text Char"/>
    <w:link w:val="Abstracttext"/>
    <w:qFormat/>
    <w:rsid w:val="00581142"/>
    <w:rPr>
      <w:rFonts w:ascii="Arial" w:hAnsi="Arial"/>
      <w:i/>
      <w:szCs w:val="24"/>
      <w:lang w:val="hr-HR" w:eastAsia="en-US"/>
    </w:rPr>
  </w:style>
  <w:style w:type="character" w:styleId="AbstractChar" w:customStyle="1">
    <w:name w:val="Abstract Char"/>
    <w:link w:val="Abstract"/>
    <w:qFormat/>
    <w:rsid w:val="00656a0a"/>
    <w:rPr>
      <w:rFonts w:ascii="Calibri" w:hAnsi="Calibri" w:cs="Calibri"/>
      <w:bCs/>
      <w:i w:val="false"/>
      <w:color w:val="000000"/>
      <w:sz w:val="22"/>
      <w:szCs w:val="22"/>
      <w:lang w:val="en-GB" w:eastAsia="en-US"/>
    </w:rPr>
  </w:style>
  <w:style w:type="character" w:styleId="FigurecaptionChar" w:customStyle="1">
    <w:name w:val="Figure caption Char"/>
    <w:link w:val="Figurecaption"/>
    <w:qFormat/>
    <w:rsid w:val="00171ee1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OFWCaptionChar" w:customStyle="1">
    <w:name w:val="OFWCaption Char"/>
    <w:link w:val="OFWCaption"/>
    <w:qFormat/>
    <w:rsid w:val="00171ee1"/>
    <w:rPr>
      <w:rFonts w:ascii="Calibri" w:hAnsi="Calibri" w:cs="Calibri"/>
      <w:b/>
      <w:bCs/>
      <w:color w:val="000000"/>
      <w:sz w:val="18"/>
      <w:szCs w:val="22"/>
      <w:lang w:val="en-GB" w:eastAsia="en-US"/>
    </w:rPr>
  </w:style>
  <w:style w:type="character" w:styleId="ListLevel1Char" w:customStyle="1">
    <w:name w:val="List Level 1 Char"/>
    <w:link w:val="ListLevel1"/>
    <w:qFormat/>
    <w:rsid w:val="004b465d"/>
    <w:rPr>
      <w:rFonts w:ascii="Calibri" w:hAnsi="Calibri" w:cs="Calibri"/>
      <w:color w:val="000000"/>
      <w:sz w:val="22"/>
      <w:szCs w:val="22"/>
      <w:lang w:val="en-GB" w:eastAsia="en-US"/>
    </w:rPr>
  </w:style>
  <w:style w:type="character" w:styleId="ListLevel2Char" w:customStyle="1">
    <w:name w:val="List Level 2 Char"/>
    <w:basedOn w:val="ListLevel1Char"/>
    <w:link w:val="ListLevel2"/>
    <w:qFormat/>
    <w:rsid w:val="004b465d"/>
    <w:rPr>
      <w:rFonts w:ascii="Calibri" w:hAnsi="Calibri" w:cs="Calibri"/>
      <w:color w:val="000000"/>
      <w:sz w:val="22"/>
      <w:szCs w:val="22"/>
      <w:lang w:val="en-GB" w:eastAsia="en-US"/>
    </w:rPr>
  </w:style>
  <w:style w:type="character" w:styleId="TablecaptionChar" w:customStyle="1">
    <w:name w:val="Table caption Char"/>
    <w:link w:val="Tablecaption"/>
    <w:qFormat/>
    <w:rsid w:val="00184085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TableheadingChar" w:customStyle="1">
    <w:name w:val="Table heading Char"/>
    <w:link w:val="Tableheading"/>
    <w:qFormat/>
    <w:rsid w:val="00184085"/>
    <w:rPr>
      <w:rFonts w:ascii="Calibri" w:hAnsi="Calibri" w:cs="Calibri"/>
      <w:b/>
      <w:color w:val="000000"/>
      <w:sz w:val="22"/>
      <w:szCs w:val="22"/>
      <w:lang w:val="en-GB" w:eastAsia="en-US"/>
    </w:rPr>
  </w:style>
  <w:style w:type="character" w:styleId="TableTextChar" w:customStyle="1">
    <w:name w:val="Table Text Char"/>
    <w:basedOn w:val="TablecaptionChar"/>
    <w:link w:val="TableText"/>
    <w:qFormat/>
    <w:rsid w:val="00184085"/>
    <w:rPr>
      <w:rFonts w:ascii="Calibri" w:hAnsi="Calibri" w:cs="Calibri"/>
      <w:color w:val="000000"/>
      <w:sz w:val="18"/>
      <w:szCs w:val="22"/>
      <w:lang w:val="en-GB" w:eastAsia="en-US"/>
    </w:rPr>
  </w:style>
  <w:style w:type="character" w:styleId="FollowedHyperlink">
    <w:name w:val="FollowedHyperlink"/>
    <w:rsid w:val="00402402"/>
    <w:rPr>
      <w:color w:val="800080"/>
      <w:u w:val="single"/>
    </w:rPr>
  </w:style>
  <w:style w:type="character" w:styleId="ReferenceListChar" w:customStyle="1">
    <w:name w:val="Reference List Char"/>
    <w:link w:val="ReferenceList"/>
    <w:qFormat/>
    <w:rsid w:val="00a611ee"/>
    <w:rPr>
      <w:rFonts w:ascii="Calibri" w:hAnsi="Calibri" w:cs="Calibri"/>
      <w:color w:val="000000"/>
      <w:lang w:val="en-GB" w:eastAsia="en-US"/>
    </w:rPr>
  </w:style>
  <w:style w:type="character" w:styleId="ColorfulGrid-Accent1Char" w:customStyle="1">
    <w:name w:val="Colorful Grid - Accent 1 Char"/>
    <w:uiPriority w:val="29"/>
    <w:qFormat/>
    <w:rsid w:val="00881283"/>
    <w:rPr>
      <w:rFonts w:ascii="Calibri" w:hAnsi="Calibri" w:cs="Calibri"/>
      <w:i/>
      <w:color w:val="000000"/>
      <w:sz w:val="22"/>
      <w:szCs w:val="22"/>
      <w:lang w:val="en-GB" w:eastAsia="en-US"/>
    </w:rPr>
  </w:style>
  <w:style w:type="character" w:styleId="CommentReference">
    <w:name w:val="annotation reference"/>
    <w:qFormat/>
    <w:rsid w:val="00f63a54"/>
    <w:rPr>
      <w:sz w:val="16"/>
      <w:szCs w:val="16"/>
    </w:rPr>
  </w:style>
  <w:style w:type="character" w:styleId="CommentTextChar" w:customStyle="1">
    <w:name w:val="Comment Text Char"/>
    <w:link w:val="CommentText"/>
    <w:qFormat/>
    <w:rsid w:val="00f63a54"/>
    <w:rPr>
      <w:rFonts w:ascii="Calibri" w:hAnsi="Calibri" w:cs="Calibri"/>
      <w:color w:val="000000"/>
      <w:lang w:val="hr-HR" w:eastAsia="en-US"/>
    </w:rPr>
  </w:style>
  <w:style w:type="character" w:styleId="CommentSubjectChar" w:customStyle="1">
    <w:name w:val="Comment Subject Char"/>
    <w:link w:val="annotationsubject"/>
    <w:qFormat/>
    <w:rsid w:val="00f63a54"/>
    <w:rPr>
      <w:rFonts w:ascii="Calibri" w:hAnsi="Calibri" w:cs="Calibri"/>
      <w:b/>
      <w:bCs/>
      <w:color w:val="000000"/>
      <w:lang w:val="hr-HR" w:eastAsia="en-US"/>
    </w:rPr>
  </w:style>
  <w:style w:type="character" w:styleId="FootnoteTextChar" w:customStyle="1">
    <w:name w:val="Footnote Text Char"/>
    <w:link w:val="FootnoteText"/>
    <w:qFormat/>
    <w:rsid w:val="00c74172"/>
    <w:rPr>
      <w:rFonts w:ascii="Calibri" w:hAnsi="Calibri" w:cs="Calibri"/>
      <w:color w:val="000000"/>
      <w:lang w:val="hr-HR" w:eastAsia="en-US"/>
    </w:rPr>
  </w:style>
  <w:style w:type="character" w:styleId="FootnoteCharacters">
    <w:name w:val="Footnote Characters"/>
    <w:qFormat/>
    <w:rsid w:val="00c7417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1122"/>
    <w:rPr>
      <w:rFonts w:ascii="Calibri" w:hAnsi="Calibri" w:eastAsia="Times New Roman" w:cs="Calibri"/>
      <w:color w:val="000000"/>
      <w:sz w:val="16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1218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unhideWhenUsed/>
    <w:qFormat/>
    <w:rsid w:val="007f04eb"/>
    <w:pPr>
      <w:spacing w:before="0" w:after="200"/>
    </w:pPr>
    <w:rPr>
      <w:b/>
      <w:bCs/>
      <w:color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d72036"/>
    <w:pPr>
      <w:tabs>
        <w:tab w:val="clear" w:pos="720"/>
        <w:tab w:val="center" w:pos="4536" w:leader="none"/>
        <w:tab w:val="right" w:pos="9072" w:leader="none"/>
      </w:tabs>
      <w:jc w:val="right"/>
    </w:pPr>
    <w:rPr>
      <w:sz w:val="16"/>
    </w:rPr>
  </w:style>
  <w:style w:type="paragraph" w:styleId="Papertitle" w:customStyle="1">
    <w:name w:val="Paper title"/>
    <w:basedOn w:val="Normal"/>
    <w:qFormat/>
    <w:rsid w:val="00d72036"/>
    <w:pPr>
      <w:jc w:val="center"/>
    </w:pPr>
    <w:rPr>
      <w:b/>
      <w:caps/>
      <w:sz w:val="28"/>
    </w:rPr>
  </w:style>
  <w:style w:type="paragraph" w:styleId="Author" w:customStyle="1">
    <w:name w:val="Author"/>
    <w:basedOn w:val="Normal"/>
    <w:qFormat/>
    <w:rsid w:val="00d72036"/>
    <w:pPr>
      <w:jc w:val="center"/>
    </w:pPr>
    <w:rPr>
      <w:sz w:val="24"/>
    </w:rPr>
  </w:style>
  <w:style w:type="paragraph" w:styleId="Abstracttext" w:customStyle="1">
    <w:name w:val="Abstract text"/>
    <w:basedOn w:val="Normal"/>
    <w:link w:val="AbstracttextChar"/>
    <w:qFormat/>
    <w:rsid w:val="00d72036"/>
    <w:pPr/>
    <w:rPr>
      <w:i/>
    </w:rPr>
  </w:style>
  <w:style w:type="paragraph" w:styleId="Figurecaption" w:customStyle="1">
    <w:name w:val="Figure caption"/>
    <w:basedOn w:val="Normal"/>
    <w:link w:val="FigurecaptionChar"/>
    <w:qFormat/>
    <w:rsid w:val="00d72036"/>
    <w:pPr>
      <w:jc w:val="left"/>
    </w:pPr>
    <w:rPr>
      <w:sz w:val="18"/>
    </w:rPr>
  </w:style>
  <w:style w:type="paragraph" w:styleId="Tablecaption" w:customStyle="1">
    <w:name w:val="Table caption"/>
    <w:basedOn w:val="Normal"/>
    <w:link w:val="TablecaptionChar"/>
    <w:qFormat/>
    <w:rsid w:val="00d72036"/>
    <w:pPr>
      <w:jc w:val="left"/>
    </w:pPr>
    <w:rPr>
      <w:sz w:val="18"/>
    </w:rPr>
  </w:style>
  <w:style w:type="paragraph" w:styleId="Footer">
    <w:name w:val="footer"/>
    <w:basedOn w:val="Normal"/>
    <w:rsid w:val="00d7203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References" w:customStyle="1">
    <w:name w:val="References"/>
    <w:basedOn w:val="Normal"/>
    <w:qFormat/>
    <w:rsid w:val="00d72036"/>
    <w:pPr/>
    <w:rPr/>
  </w:style>
  <w:style w:type="paragraph" w:styleId="BalloonText">
    <w:name w:val="Balloon Text"/>
    <w:basedOn w:val="Normal"/>
    <w:link w:val="BalloonTextChar"/>
    <w:qFormat/>
    <w:rsid w:val="004e0d0f"/>
    <w:pPr/>
    <w:rPr>
      <w:rFonts w:ascii="Tahoma" w:hAnsi="Tahoma" w:cs="Tahoma"/>
      <w:sz w:val="16"/>
      <w:szCs w:val="16"/>
    </w:rPr>
  </w:style>
  <w:style w:type="paragraph" w:styleId="Title">
    <w:name w:val="Title"/>
    <w:basedOn w:val="Papertitle"/>
    <w:next w:val="Normal"/>
    <w:link w:val="TitleChar"/>
    <w:qFormat/>
    <w:rsid w:val="007f04eb"/>
    <w:pPr>
      <w:jc w:val="left"/>
    </w:pPr>
    <w:rPr>
      <w:sz w:val="24"/>
      <w:szCs w:val="24"/>
    </w:rPr>
  </w:style>
  <w:style w:type="paragraph" w:styleId="Subtitle">
    <w:name w:val="Subtitle"/>
    <w:basedOn w:val="Author"/>
    <w:next w:val="Normal"/>
    <w:link w:val="SubtitleChar"/>
    <w:qFormat/>
    <w:rsid w:val="007f04eb"/>
    <w:pPr>
      <w:ind w:left="284"/>
      <w:jc w:val="left"/>
    </w:pPr>
    <w:rPr>
      <w:caps/>
      <w:sz w:val="22"/>
      <w:szCs w:val="22"/>
    </w:rPr>
  </w:style>
  <w:style w:type="paragraph" w:styleId="Affiliation" w:customStyle="1">
    <w:name w:val="Affiliation"/>
    <w:basedOn w:val="Normal"/>
    <w:link w:val="AffiliationChar"/>
    <w:qFormat/>
    <w:rsid w:val="00ab6af0"/>
    <w:pPr>
      <w:ind w:left="284"/>
      <w:jc w:val="left"/>
    </w:pPr>
    <w:rPr>
      <w:i/>
    </w:rPr>
  </w:style>
  <w:style w:type="paragraph" w:styleId="Abstract" w:customStyle="1">
    <w:name w:val="Abstract"/>
    <w:basedOn w:val="Abstracttext"/>
    <w:link w:val="AbstractChar"/>
    <w:qFormat/>
    <w:rsid w:val="00656a0a"/>
    <w:pPr/>
    <w:rPr>
      <w:bCs/>
    </w:rPr>
  </w:style>
  <w:style w:type="paragraph" w:styleId="OFWCaption" w:customStyle="1">
    <w:name w:val="OFWCaption"/>
    <w:basedOn w:val="Figurecaption"/>
    <w:link w:val="OFWCaptionChar"/>
    <w:qFormat/>
    <w:rsid w:val="00171ee1"/>
    <w:pPr/>
    <w:rPr>
      <w:b/>
      <w:bCs/>
    </w:rPr>
  </w:style>
  <w:style w:type="paragraph" w:styleId="ListLevel1" w:customStyle="1">
    <w:name w:val="List Level 1"/>
    <w:basedOn w:val="Normal"/>
    <w:link w:val="ListLevel1Char"/>
    <w:qFormat/>
    <w:rsid w:val="004b465d"/>
    <w:pPr/>
    <w:rPr/>
  </w:style>
  <w:style w:type="paragraph" w:styleId="ListLevel2" w:customStyle="1">
    <w:name w:val="List Level 2"/>
    <w:basedOn w:val="ListLevel1"/>
    <w:link w:val="ListLevel2Char"/>
    <w:qFormat/>
    <w:rsid w:val="004b465d"/>
    <w:pPr/>
    <w:rPr/>
  </w:style>
  <w:style w:type="paragraph" w:styleId="Tableheading" w:customStyle="1">
    <w:name w:val="Table heading"/>
    <w:basedOn w:val="Tablecaption"/>
    <w:link w:val="TableheadingChar"/>
    <w:qFormat/>
    <w:rsid w:val="00184085"/>
    <w:pPr/>
    <w:rPr>
      <w:b/>
      <w:sz w:val="22"/>
    </w:rPr>
  </w:style>
  <w:style w:type="paragraph" w:styleId="TableText" w:customStyle="1">
    <w:name w:val="Table Text"/>
    <w:basedOn w:val="Tablecaption"/>
    <w:link w:val="TableTextChar"/>
    <w:qFormat/>
    <w:rsid w:val="00184085"/>
    <w:pPr/>
    <w:rPr>
      <w:sz w:val="20"/>
    </w:rPr>
  </w:style>
  <w:style w:type="paragraph" w:styleId="Default" w:customStyle="1">
    <w:name w:val="Default"/>
    <w:qFormat/>
    <w:rsid w:val="00402402"/>
    <w:pPr>
      <w:widowControl/>
      <w:suppressAutoHyphens w:val="true"/>
      <w:bidi w:val="0"/>
      <w:spacing w:before="0" w:after="0"/>
      <w:jc w:val="left"/>
    </w:pPr>
    <w:rPr>
      <w:rFonts w:ascii="Berthold Akzidenz Grotesk" w:hAnsi="Berthold Akzidenz Grotesk" w:eastAsia="Times New Roman" w:cs="Berthold Akzidenz Grotesk"/>
      <w:color w:val="000000"/>
      <w:kern w:val="0"/>
      <w:sz w:val="24"/>
      <w:szCs w:val="24"/>
      <w:lang w:val="pt-PT" w:eastAsia="pt-PT" w:bidi="ar-SA"/>
    </w:rPr>
  </w:style>
  <w:style w:type="paragraph" w:styleId="ReferenceList" w:customStyle="1">
    <w:name w:val="Reference List"/>
    <w:basedOn w:val="Normal"/>
    <w:link w:val="ReferenceListChar"/>
    <w:qFormat/>
    <w:rsid w:val="00a611ee"/>
    <w:pPr>
      <w:spacing w:before="0" w:after="60"/>
      <w:ind w:hanging="426" w:left="426"/>
      <w:jc w:val="left"/>
    </w:pPr>
    <w:rPr/>
  </w:style>
  <w:style w:type="paragraph" w:styleId="ColorfulGrid-Accent11" w:customStyle="1">
    <w:name w:val="Colorful Grid - Accent 11"/>
    <w:basedOn w:val="Normal"/>
    <w:next w:val="Normal"/>
    <w:uiPriority w:val="29"/>
    <w:qFormat/>
    <w:rsid w:val="00881283"/>
    <w:pPr>
      <w:ind w:left="567"/>
    </w:pPr>
    <w:rPr>
      <w:i/>
    </w:rPr>
  </w:style>
  <w:style w:type="paragraph" w:styleId="CommentText">
    <w:name w:val="annotation text"/>
    <w:basedOn w:val="Normal"/>
    <w:link w:val="CommentTextChar"/>
    <w:rsid w:val="00f63a54"/>
    <w:pPr/>
    <w:rPr/>
  </w:style>
  <w:style w:type="paragraph" w:styleId="annotationsubject">
    <w:name w:val="annotation subject"/>
    <w:basedOn w:val="CommentText"/>
    <w:link w:val="CommentSubjectChar"/>
    <w:qFormat/>
    <w:rsid w:val="00f63a54"/>
    <w:pPr/>
    <w:rPr>
      <w:b/>
      <w:bCs/>
    </w:rPr>
  </w:style>
  <w:style w:type="paragraph" w:styleId="FootnoteText">
    <w:name w:val="footnote text"/>
    <w:basedOn w:val="Normal"/>
    <w:link w:val="FootnoteTextChar"/>
    <w:rsid w:val="00c74172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1">
    <w:name w:val="Table Heading1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e0d0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黑体" pitchFamily="0" charset="1"/>
        <a:cs typeface=""/>
      </a:majorFont>
      <a:minorFont>
        <a:latin typeface="Calibri" pitchFamily="0" charset="1"/>
        <a:ea typeface="宋体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5C17F5F-6233-DD46-82CB-4F2C33D1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LibreOffice/24.8.4.2$Linux_X86_64 LibreOffice_project/480$Build-2</Application>
  <AppVersion>15.0000</AppVersion>
  <Pages>3</Pages>
  <Words>935</Words>
  <Characters>3683</Characters>
  <CharactersWithSpaces>4443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2017-09-05T05:20:00Z</dcterms:created>
  <dc:creator>Administrator</dc:creator>
  <dc:description/>
  <dc:language>pt-PT</dc:language>
  <cp:lastModifiedBy/>
  <cp:lastPrinted>2017-11-20T13:50:00Z</cp:lastPrinted>
  <dcterms:modified xsi:type="dcterms:W3CDTF">2025-03-25T13:31:54Z</dcterms:modified>
  <cp:revision>19</cp:revision>
  <dc:subject/>
  <dc:title>TITLE OF THE PAPER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