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Helvetica Neue" w:cs="Helvetica Neue" w:eastAsia="Helvetica Neue" w:hAnsi="Helvetica Neue"/>
          <w:color w:val="7E88A8"/>
          <w:spacing w:val="40"/>
          <w:sz w:val="17"/>
          <w:szCs w:val="17"/>
        </w:rPr>
        <w:t xml:space="preserve">AI · PERUSTEET — AVOIN VERKKOKURSSI</w:t>
      </w:r>
    </w:p>
    <w:p>
      <w:pPr>
        <w:pBdr>
          <w:left w:val="single" w:color="3B5BDB" w:sz="36" w:space="14"/>
        </w:pBdr>
        <w:spacing w:after="80"/>
      </w:pPr>
      <w:r>
        <w:rPr>
          <w:rFonts w:ascii="Helvetica Neue" w:cs="Helvetica Neue" w:eastAsia="Helvetica Neue" w:hAnsi="Helvetica Neue"/>
          <w:b/>
          <w:bCs/>
          <w:color w:val="1B2336"/>
          <w:sz w:val="64"/>
          <w:szCs w:val="64"/>
        </w:rPr>
        <w:t xml:space="preserve">Työkirja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Tämä työkirja on kurssin henkilökohtainen työdokumenttisi. Tallenna siihen promptisi, kokeilujesi tulokset, käyttämäsi lähteet ja tekemäsi korjaukset, sillä kurssisivusto ei säilytä niitä puolestasi.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Voit täyttää työkirjaa millä tahansa tekstieditorilla tai tekstinkäsittelyohjelmalla ja tallentaa sen lopuksi PDF-muotoon.</w:t>
      </w:r>
    </w:p>
    <w:p>
      <w:pPr>
        <w:pStyle w:val="Heading1"/>
        <w:keepNext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Nimi tai oma tunniste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Jos palautat työkirjan opettajalle tai oppilaitokselle, kirjoita tähän nimesi tai muu sovittu tunniste. Jos suoritat kurssin itsenäisesti, voit jättää kohdan tyhjäksi.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Nimi tai tunniste: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Oma reittini</w:t>
      </w:r>
    </w:p>
    <w:p>
      <w:pPr>
        <w:spacing w:after="120" w:line="288"/>
      </w:pPr>
      <w:r>
        <w:rPr>
          <w:rFonts w:ascii="Helvetica Neue" w:cs="Helvetica Neue" w:eastAsia="Helvetica Neue" w:hAnsi="Helvetica Neue"/>
          <w:i w:val="false"/>
          <w:iCs w:val="false"/>
          <w:color w:val="3A4253"/>
          <w:sz w:val="21"/>
          <w:szCs w:val="21"/>
        </w:rPr>
        <w:t xml:space="preserve">Kurssin tehtävissä sovellat opittuja asioita itse valitsemaasi tilanteeseen. Tee valinnat tähän kerran kurssin alussa. Näin voit käyttää samaa lähtökohtaa kaikissa tehtävissä, ja samalla lukija näkee, millaisessa ympäristössä olet tehnyt harjoitukset.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Sovellan tehtäviä seuraavaan ympäristöön (arki tai harrastus / opiskelu / työelämän rooliskenaario):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Työkalu, jolla teen harjoitukset (esim. tekoälychat, annettu esimerkkitulos tai dokumentoitu kuivaharjoittelu):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Minne tallennan tämän työkirjan ja muut kurssin tuotokset: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spacing w:after="40" w:before="60"/>
      </w:pPr>
      <w:r>
        <w:rPr>
          <w:rFonts w:ascii="Helvetica Neue" w:cs="Helvetica Neue" w:eastAsia="Helvetica Neue" w:hAnsi="Helvetica Neue"/>
          <w:color w:val="3B5BDB"/>
          <w:spacing w:val="30"/>
          <w:sz w:val="15"/>
          <w:szCs w:val="15"/>
        </w:rPr>
        <w:t xml:space="preserve">OSA 1 · TEORIA</w:t>
      </w:r>
    </w:p>
    <w:p>
      <w:pPr>
        <w:pStyle w:val="Heading1"/>
        <w:keepNext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Todistusaineistot 1–3</w:t>
      </w:r>
    </w:p>
    <w:p>
      <w:pPr>
        <w:pStyle w:val="Heading2"/>
        <w:keepNext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1: syöte, kolme tulosta ja mekanismiselitys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Tarkka prompti tai annettu syöte: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1: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2: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Tulos 3: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tulosten vaihtelu kertoo: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keepNext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2: kontekstin katoamis- ja palautusloki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tietoa tarvittiin: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Milloin tieto katosi: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Miten palautin tiedon: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Mitä tästä seuraa käytännössä: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keepNext/>
        <w:spacing w:after="40" w:before="240"/>
      </w:pPr>
      <w:r>
        <w:rPr>
          <w:rFonts w:ascii="Helvetica Neue" w:cs="Helvetica Neue" w:eastAsia="Helvetica Neue" w:hAnsi="Helvetica Neue"/>
          <w:b/>
          <w:bCs/>
          <w:color w:val="3B5BDB"/>
          <w:sz w:val="24"/>
          <w:szCs w:val="24"/>
        </w:rPr>
        <w:t xml:space="preserve">Todistusaineisto 3: väite–lähde–tulos–korjaus</w:t>
      </w:r>
    </w:p>
    <w:tbl>
      <w:tblPr>
        <w:tblW w:type="dxa" w:w="9026"/>
        <w:tblBorders>
          <w:top w:val="single" w:color="E2E5EE" w:sz="6"/>
          <w:left w:val="single" w:color="E2E5EE" w:sz="6"/>
          <w:bottom w:val="single" w:color="E2E5EE" w:sz="6"/>
          <w:right w:val="single" w:color="E2E5EE" w:sz="6"/>
          <w:insideH w:val="single" w:color="E2E5EE" w:sz="6"/>
          <w:insideV w:val="single" w:color="E2E5EE" w:sz="6"/>
        </w:tblBorders>
        <w:tblLayout w:type="fixed"/>
      </w:tblPr>
      <w:tblGrid>
        <w:gridCol w:w="2482"/>
        <w:gridCol w:w="2256"/>
        <w:gridCol w:w="1806"/>
        <w:gridCol w:w="2482"/>
      </w:tblGrid>
      <w:tr>
        <w:trPr>
          <w:tblHeader/>
        </w:trPr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Tarkistettava väite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Luotettava lähde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Tulos</w:t>
            </w:r>
          </w:p>
        </w:tc>
        <w:tc>
          <w:tcPr>
            <w:tcW w:type="dxa" w:w="2482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Korjattu muoto</w:t>
            </w:r>
          </w:p>
        </w:tc>
      </w:tr>
      <w:tr>
        <w:trPr>
          <w:cantSplit/>
        </w:trP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24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</w:tbl>
    <w:p>
      <w:pPr>
        <w:keepNext/>
        <w:spacing w:after="40" w:before="60"/>
      </w:pPr>
      <w:r>
        <w:rPr>
          <w:rFonts w:ascii="Helvetica Neue" w:cs="Helvetica Neue" w:eastAsia="Helvetica Neue" w:hAnsi="Helvetica Neue"/>
          <w:color w:val="8449B8"/>
          <w:spacing w:val="30"/>
          <w:sz w:val="15"/>
          <w:szCs w:val="15"/>
        </w:rPr>
        <w:t xml:space="preserve">OSA 2 · KÄYTTÖ</w:t>
      </w:r>
    </w:p>
    <w:p>
      <w:pPr>
        <w:pStyle w:val="Heading1"/>
        <w:keepNext/>
        <w:pBdr>
          <w:left w:val="single" w:color="8449B8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Promptipankin kortti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Tavoite: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Kohderyhmä tai käyttötilanne: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Tarvittava konteksti: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Lähdeaineisto: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Vaiheet: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Haluttu muoto: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Versio 1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Korjaus: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Versio 2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1"/>
        <w:keepNext/>
        <w:pBdr>
          <w:left w:val="single" w:color="8449B8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Botin prosessinäyttö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Tarkoitus ja rajat: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Järjestelmäprompti: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Tietopohja tai annettu testiaineisto: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Positiivinen testi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Negatiivinen testi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Reunatapaus ja tulos: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Tehty korjaus ja uudelleentesti: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Toteutus / kuivaharjoittelu: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spacing w:after="40" w:before="60"/>
      </w:pPr>
      <w:r>
        <w:rPr>
          <w:rFonts w:ascii="Helvetica Neue" w:cs="Helvetica Neue" w:eastAsia="Helvetica Neue" w:hAnsi="Helvetica Neue"/>
          <w:color w:val="007A8A"/>
          <w:spacing w:val="30"/>
          <w:sz w:val="15"/>
          <w:szCs w:val="15"/>
        </w:rPr>
        <w:t xml:space="preserve">OSA 3 · AGENTIT</w:t>
      </w:r>
    </w:p>
    <w:p>
      <w:pPr>
        <w:pStyle w:val="Heading1"/>
        <w:keepNext/>
        <w:pBdr>
          <w:left w:val="single" w:color="007A8A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Agentin prosessinäyttö</w:t>
      </w: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Ongelma, jonka agentti ratkaisee: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Miksi prompti tai tavallinen työnkulku ei yksin riitä: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Solmukaavio ja työkalusopimus: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Oikeudet, hyväksyntäportit ja eskalointi: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Työkalukutsut, tulokset, virheet ja lyhyet päätösperustelut: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normaalia 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reunatapausta: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3 turvallisuustestiä: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Vähintään kaksi korjauksen jälkeistä uudelleentestiä: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keepLines/>
        <w:spacing w:after="80" w:before="160"/>
      </w:pPr>
      <w:r>
        <w:rPr>
          <w:rFonts w:ascii="Helvetica Neue" w:cs="Helvetica Neue" w:eastAsia="Helvetica Neue" w:hAnsi="Helvetica Neue"/>
          <w:b/>
          <w:bCs/>
          <w:color w:val="1B2336"/>
          <w:sz w:val="21"/>
          <w:szCs w:val="21"/>
        </w:rPr>
        <w:t xml:space="preserve">2–3 minuutin demon tai puolustuksen muistiinpanot:</w:t>
      </w:r>
    </w:p>
    <w:tbl>
      <w:tblPr>
        <w:tblW w:type="dxa" w:w="9026"/>
        <w:tblBorders>
          <w:top w:val="single" w:color="D8DCE8" w:sz="6"/>
          <w:left w:val="single" w:color="D8DCE8" w:sz="6"/>
          <w:bottom w:val="single" w:color="D8DCE8" w:sz="6"/>
          <w:right w:val="single" w:color="D8DCE8" w:sz="6"/>
          <w:insideH w:val="none"/>
          <w:insideV w:val="none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tcMar>
              <w:top w:type="dxa" w:w="100"/>
              <w:left w:type="dxa" w:w="140"/>
              <w:bottom w:type="dxa" w:w="140"/>
              <w:right w:type="dxa" w:w="140"/>
            </w:tcMar>
          </w:tcPr>
          <w:p>
            <w:pPr>
              <w:spacing w:after="24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sz w:val="21"/>
                <w:szCs w:val="21"/>
              </w:rPr>
              <w:t xml:space="preserve"> </w:t>
            </w:r>
          </w:p>
        </w:tc>
      </w:tr>
    </w:tbl>
    <w:p>
      <w:pPr>
        <w:spacing w:after="40"/>
      </w:pPr>
    </w:p>
    <w:p>
      <w:pPr>
        <w:keepNext/>
        <w:spacing w:after="40" w:before="60"/>
      </w:pPr>
      <w:r>
        <w:rPr>
          <w:rFonts w:ascii="Helvetica Neue" w:cs="Helvetica Neue" w:eastAsia="Helvetica Neue" w:hAnsi="Helvetica Neue"/>
          <w:color w:val="7E88A8"/>
          <w:spacing w:val="30"/>
          <w:sz w:val="15"/>
          <w:szCs w:val="15"/>
        </w:rPr>
        <w:t xml:space="preserve">KOKO KURSSI</w:t>
      </w:r>
    </w:p>
    <w:p>
      <w:pPr>
        <w:pStyle w:val="Heading1"/>
        <w:keepNext/>
        <w:pBdr>
          <w:left w:val="single" w:color="3B5BDB" w:sz="24" w:space="12"/>
        </w:pBdr>
        <w:spacing w:after="60" w:before="320"/>
      </w:pPr>
      <w:r>
        <w:rPr>
          <w:rFonts w:ascii="Helvetica Neue" w:cs="Helvetica Neue" w:eastAsia="Helvetica Neue" w:hAnsi="Helvetica Neue"/>
          <w:b/>
          <w:bCs/>
          <w:color w:val="1B2336"/>
          <w:sz w:val="30"/>
          <w:szCs w:val="30"/>
        </w:rPr>
        <w:t xml:space="preserve">Lähteet</w:t>
      </w:r>
    </w:p>
    <w:tbl>
      <w:tblPr>
        <w:tblW w:type="dxa" w:w="9026"/>
        <w:tblBorders>
          <w:top w:val="single" w:color="E2E5EE" w:sz="6"/>
          <w:left w:val="single" w:color="E2E5EE" w:sz="6"/>
          <w:bottom w:val="single" w:color="E2E5EE" w:sz="6"/>
          <w:right w:val="single" w:color="E2E5EE" w:sz="6"/>
          <w:insideH w:val="single" w:color="E2E5EE" w:sz="6"/>
          <w:insideV w:val="single" w:color="E2E5EE" w:sz="6"/>
        </w:tblBorders>
        <w:tblLayout w:type="fixed"/>
      </w:tblPr>
      <w:tblGrid>
        <w:gridCol w:w="3610"/>
        <w:gridCol w:w="3610"/>
        <w:gridCol w:w="1806"/>
      </w:tblGrid>
      <w:tr>
        <w:trPr>
          <w:tblHeader/>
        </w:trPr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Lähde</w:t>
            </w:r>
          </w:p>
        </w:tc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Mitä tarkistin</w:t>
            </w:r>
          </w:p>
        </w:tc>
        <w:tc>
          <w:tcPr>
            <w:tcW w:type="dxa" w:w="3610"/>
            <w:shd w:fill="EEF1F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/>
                <w:bCs/>
                <w:color w:val="1B2336"/>
                <w:sz w:val="19"/>
                <w:szCs w:val="19"/>
              </w:rPr>
              <w:t xml:space="preserve">Tarkistuspäivä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  <w:tc>
          <w:tcPr>
            <w:tcW w:type="dxa" w:w="36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Helvetica Neue" w:cs="Helvetica Neue" w:eastAsia="Helvetica Neue" w:hAnsi="Helvetica Neue"/>
                <w:b w:val="false"/>
                <w:bCs w:val="false"/>
                <w:color w:val="3A4253"/>
                <w:sz w:val="20"/>
                <w:szCs w:val="20"/>
              </w:rPr>
              <w:t xml:space="preserve"> 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5EE" w:sz="6" w:space="8"/>
      </w:pBdr>
      <w:jc w:val="center"/>
    </w:pPr>
    <w:r>
      <w:rPr>
        <w:rFonts w:ascii="Helvetica Neue" w:cs="Helvetica Neue" w:eastAsia="Helvetica Neue" w:hAnsi="Helvetica Neue"/>
        <w:color w:val="7E88A8"/>
        <w:sz w:val="15"/>
        <w:szCs w:val="15"/>
      </w:rPr>
      <w:t xml:space="preserve">AI · Perusteet — aiperusteet.fi · CC BY-SA 4.0 · sivu </w:t>
    </w:r>
    <w:r>
      <w:rPr>
        <w:rFonts w:ascii="Helvetica Neue" w:cs="Helvetica Neue" w:eastAsia="Helvetica Neue" w:hAnsi="Helvetica Neue"/>
        <w:color w:val="7E88A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3A425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2026-07-19T20:53:47.721Z</dcterms:created>
  <dcterms:modified xsi:type="dcterms:W3CDTF">2026-07-19T20:53:47.721Z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