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B5E20"/>
          <w:sz w:val="48"/>
          <w:szCs w:val="48"/>
        </w:rPr>
        <w:t xml:space="preserve">Näytön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BittiBiomi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1 · Aloituskeskustelun muistiinpanot (vko 34)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00"/>
        <w:gridCol w:w="4738"/>
      </w:tblGrid>
      <w:tr>
        <w:trPr>
          <w:tblHeader/>
        </w:trPr>
        <w:tc>
          <w:tcPr>
            <w:tcW w:type="dxa" w:w="6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2 · Vaihtoehtojen vertailumuistio (vko 39)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Näkyvyys pelissä: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3 · Katselmointiloki (vkot 41 ja 47)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Testaajat ovat ohjaaja ja vertaistestaaja. Erota aina testaajan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4 · Testimatriisi (vko 45)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2400"/>
        <w:gridCol w:w="2100"/>
        <w:gridCol w:w="1600"/>
        <w:gridCol w:w="738"/>
      </w:tblGrid>
      <w:tr>
        <w:trPr>
          <w:tblHeader/>
        </w:trPr>
        <w:tc>
          <w:tcPr>
            <w:tcW w:type="dxa" w:w="7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7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T01–T04 normaali käyttö · T05–T08 rajat · T09–T12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5 · Virheenkorjausketju (vko 45,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6 · Lisenssi- ja CREDITS-kirjaus (vko 46)</w:t>
      </w:r>
    </w:p>
    <w:p>
      <w:pPr>
        <w:spacing w:after="160" w:before="0"/>
      </w:pPr>
      <w:r>
        <w:rPr>
          <w:sz w:val="21"/>
          <w:szCs w:val="21"/>
        </w:rPr>
        <w:t xml:space="preserve">Paketin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400"/>
        <w:gridCol w:w="3238"/>
      </w:tblGrid>
      <w:tr>
        <w:trPr>
          <w:tblHeader/>
        </w:trPr>
        <w:tc>
          <w:tcPr>
            <w:tcW w:type="dxa" w:w="30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asset</w:t>
            </w:r>
          </w:p>
        </w:tc>
        <w:tc>
          <w:tcPr>
            <w:tcW w:type="dxa" w:w="34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 —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400"/>
        <w:gridCol w:w="2700"/>
        <w:gridCol w:w="2638"/>
      </w:tblGrid>
      <w:tr>
        <w:trPr>
          <w:tblHeader/>
        </w:trPr>
        <w:tc>
          <w:tcPr>
            <w:tcW w:type="dxa" w:w="19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7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2026-08-18T14:14:22.381Z</dcterms:created>
  <dcterms:modified xsi:type="dcterms:W3CDTF">2026-08-18T14:14:22.381Z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