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pPr>
      <w:r>
        <w:rPr>
          <w:b/>
          <w:bCs/>
          <w:color w:val="9a3412"/>
          <w:sz w:val="52"/>
          <w:szCs w:val="52"/>
        </w:rPr>
        <w:t xml:space="preserve">Näyttösuunnitelma · NoppaKauppa</w:t>
      </w:r>
    </w:p>
    <w:p>
      <w:pPr>
        <w:spacing w:after="60" w:before="0"/>
      </w:pPr>
      <w:r>
        <w:rPr>
          <w:sz w:val="23"/>
          <w:szCs w:val="23"/>
        </w:rPr>
        <w:t xml:space="preserve">NoppaKauppa · Lautapelien verkkokauppa: Vue 3, Pinia, FastAPI, SQLite ja julkaisu tuotantoon · 18 työviikkoa · päivätön aikataulu, viikot 1–18, luovutus 18. työviikon perjantai</w:t>
      </w:r>
    </w:p>
    <w:p>
      <w:pPr>
        <w:spacing w:after="300" w:before="0"/>
      </w:pPr>
      <w:r>
        <w:rPr>
          <w:color w:val="555555"/>
          <w:sz w:val="20"/>
          <w:szCs w:val="20"/>
        </w:rPr>
        <w:t xml:space="preserve">Opettajan lähdeaineisto. Vaatimukset on luettu sivuston näyttömatriisista, joten tämä asiakirja pysyy sivuston kanssa yhdenmukaisena. Aikataulu on päivätön: viikot ovat työviikkoja 1–18 opiskelijan omasta aloituksesta.</w:t>
      </w:r>
    </w:p>
    <w:p>
      <w:pPr>
        <w:pStyle w:val="Heading1"/>
        <w:spacing w:before="320" w:after="160"/>
      </w:pPr>
      <w:r>
        <w:rPr>
          <w:b/>
          <w:bCs/>
          <w:color w:val="9a3412"/>
        </w:rPr>
        <w:t xml:space="preserve">1 · Näytön kohde ja ympäristö</w:t>
      </w:r>
    </w:p>
    <w:p>
      <w:pPr>
        <w:spacing w:after="120" w:before="0"/>
      </w:pPr>
      <w:r>
        <w:rPr>
          <w:sz w:val="21"/>
          <w:szCs w:val="21"/>
        </w:rPr>
        <w:t xml:space="preserve">Näyttö annetaan Tieto- ja viestintätekniikan perustutkinnon (diaarinumero OPH-6216-2025, perusteId 9816282) kolmesta tutkinnon osasta: Ohjelmointi (45 osp, 11 vaatimusta), Ohjelmistokehittäjänä toimiminen (45 osp, 14 vaatimusta) ja Ohjelmiston toteuttaminen ohjelmistokomponenttikirjastolla (30 osp, 7 vaatimusta). Vaatimuksia on yhteensä 32.</w:t>
      </w:r>
    </w:p>
    <w:p>
      <w:pPr>
        <w:spacing w:after="120" w:before="0"/>
      </w:pPr>
      <w:r>
        <w:rPr>
          <w:sz w:val="21"/>
          <w:szCs w:val="21"/>
        </w:rPr>
        <w:t xml:space="preserve">Näytön kohteena on yksi ohjattu web-projekti: lautapeliliike Nopan Nurkan ensimmäinen verkkokauppa. Opiskelija toteuttaa sen Vue 3 + Vite + Pinia -frontilla ja FastAPI + SQLite -backendilla, julkaisee sen tuotantoon jo viikolla 5 ja luovuttaa version 1.0 asiakkaalle viikolla 17. Opiskelija saa vaihtaa tuotealan omaksi teemakseen viikolla 2; vaatimukset eivät muutu.</w:t>
      </w:r>
    </w:p>
    <w:p>
      <w:pPr>
        <w:spacing w:after="120" w:before="0"/>
      </w:pPr>
      <w:r>
        <w:rPr>
          <w:sz w:val="21"/>
          <w:szCs w:val="21"/>
        </w:rPr>
        <w:t xml:space="preserve">Ympäristö: opiskelijan oma kehityskone, julkinen Git-repository ja opiskelijan viikolla 5 vertailema julkaisualusta. Oppilaitoksen linjaus julkaisualustasta on ohjaajan päätettävä avoin asia.</w:t>
      </w:r>
    </w:p>
    <w:p>
      <w:pPr>
        <w:spacing w:after="120" w:before="0"/>
      </w:pPr>
      <w:r>
        <w:rPr>
          <w:sz w:val="21"/>
          <w:szCs w:val="21"/>
        </w:rPr>
        <w:t xml:space="preserve">Näyttöaineisto syntyy työn aikana: commit-historia, issuet, pull request, testimatriisi tuloksineen, kolme virheenkorjausketjua, kaksi katselmointimuistiota, tietoturva-arvio, Lighthouse-raportit sekä projektipäiväkirja ja AI-loki.</w:t>
      </w:r>
    </w:p>
    <w:p>
      <w:pPr>
        <w:spacing w:after="120" w:before="0"/>
      </w:pPr>
      <w:r>
        <w:rPr>
          <w:b/>
          <w:bCs/>
          <w:sz w:val="21"/>
          <w:szCs w:val="21"/>
        </w:rPr>
        <w:t xml:space="preserve">Pakollinen perusversio (P0): tuotteet kategorioittain, sanahaku, ostoskori, rekisteröityminen ja kirjautuminen, tilaus, tilaushistoria, omien tietojen muokkaus, tuotehallinta ja tilausten selaus. Maksunvälitys on rajattu pois asiakkaan päätöksellä. Sitä ei toteuteta osittainkaan.</w:t>
      </w:r>
    </w:p>
    <w:p>
      <w:pPr>
        <w:pStyle w:val="Heading1"/>
        <w:spacing w:before="320" w:after="160"/>
      </w:pPr>
      <w:r>
        <w:rPr>
          <w:b/>
          <w:bCs/>
          <w:color w:val="9a3412"/>
        </w:rPr>
        <w:t xml:space="preserve">2 · Roolit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c>
          <w:tcPr>
            <w:tcW w:type="dxa" w:w="2602"/>
            <w:shd w:fill="fdf5ef" w:val="clear"/>
            <w:tcMar>
              <w:top w:type="dxa" w:w="60"/>
              <w:left w:type="dxa" w:w="100"/>
              <w:bottom w:type="dxa" w:w="60"/>
              <w:right w:type="dxa" w:w="100"/>
            </w:tcMar>
          </w:tcPr>
          <w:p>
            <w:pPr>
              <w:spacing w:after="0"/>
            </w:pPr>
            <w:r>
              <w:rPr>
                <w:b/>
                <w:bCs/>
                <w:sz w:val="19"/>
                <w:szCs w:val="19"/>
              </w:rPr>
              <w:t xml:space="preserve">Opiskelija</w:t>
            </w:r>
          </w:p>
        </w:tc>
        <w:tc>
          <w:tcPr>
            <w:tcW w:type="dxa" w:w="7036"/>
            <w:tcMar>
              <w:top w:type="dxa" w:w="60"/>
              <w:left w:type="dxa" w:w="100"/>
              <w:bottom w:type="dxa" w:w="60"/>
              <w:right w:type="dxa" w:w="100"/>
            </w:tcMar>
          </w:tcPr>
          <w:p>
            <w:pPr>
              <w:spacing w:after="0"/>
            </w:pPr>
            <w:r>
              <w:rPr>
                <w:sz w:val="19"/>
                <w:szCs w:val="19"/>
              </w:rPr>
              <w:t xml:space="preserve">Toteuttaa kaupan, tekee omat päätöksensä perusteluineen, ajaa testit ja kirjaa työnäytteet. Sopii katselmointien käytännöt itse, kun katselmoijat on nimetty.</w:t>
            </w:r>
          </w:p>
        </w:tc>
      </w:tr>
      <w:tr>
        <w:tc>
          <w:tcPr>
            <w:tcW w:type="dxa" w:w="2602"/>
            <w:shd w:fill="fdf5ef" w:val="clear"/>
            <w:tcMar>
              <w:top w:type="dxa" w:w="60"/>
              <w:left w:type="dxa" w:w="100"/>
              <w:bottom w:type="dxa" w:w="60"/>
              <w:right w:type="dxa" w:w="100"/>
            </w:tcMar>
          </w:tcPr>
          <w:p>
            <w:pPr>
              <w:spacing w:after="0"/>
            </w:pPr>
            <w:r>
              <w:rPr>
                <w:b/>
                <w:bCs/>
                <w:sz w:val="19"/>
                <w:szCs w:val="19"/>
              </w:rPr>
              <w:t xml:space="preserve">Ohjaaja / opettaja</w:t>
            </w:r>
          </w:p>
        </w:tc>
        <w:tc>
          <w:tcPr>
            <w:tcW w:type="dxa" w:w="7036"/>
            <w:tcMar>
              <w:top w:type="dxa" w:w="60"/>
              <w:left w:type="dxa" w:w="100"/>
              <w:bottom w:type="dxa" w:w="60"/>
              <w:right w:type="dxa" w:w="100"/>
            </w:tcMar>
          </w:tcPr>
          <w:p>
            <w:pPr>
              <w:spacing w:after="0"/>
            </w:pPr>
            <w:r>
              <w:rPr>
                <w:sz w:val="19"/>
                <w:szCs w:val="19"/>
              </w:rPr>
              <w:t xml:space="preserve">Vastaa kysymyslistaan viikolla 1 ja toimii asiakkaan sijaisena, kunnes asiakkaan edustaja on nimetty: vastaanottaa kysymyslistat ja tilannekatsaukset ja hyväksyy rautalangat viikolla 2. Lisäksi ohjaaja priorisoi palautteen viikolla 10, käy tietoturva-arvion läpi viikolla 14 ja tarkistaa laadun tarkistuspisteissä.</w:t>
            </w:r>
          </w:p>
        </w:tc>
      </w:tr>
      <w:tr>
        <w:tc>
          <w:tcPr>
            <w:tcW w:type="dxa" w:w="2602"/>
            <w:shd w:fill="fdf5ef" w:val="clear"/>
            <w:tcMar>
              <w:top w:type="dxa" w:w="60"/>
              <w:left w:type="dxa" w:w="100"/>
              <w:bottom w:type="dxa" w:w="60"/>
              <w:right w:type="dxa" w:w="100"/>
            </w:tcMar>
          </w:tcPr>
          <w:p>
            <w:pPr>
              <w:spacing w:after="0"/>
            </w:pPr>
            <w:r>
              <w:rPr>
                <w:b/>
                <w:bCs/>
                <w:sz w:val="19"/>
                <w:szCs w:val="19"/>
              </w:rPr>
              <w:t xml:space="preserve">Asiakkaan edustaja (viikko 10)</w:t>
            </w:r>
          </w:p>
        </w:tc>
        <w:tc>
          <w:tcPr>
            <w:tcW w:type="dxa" w:w="7036"/>
            <w:tcMar>
              <w:top w:type="dxa" w:w="60"/>
              <w:left w:type="dxa" w:w="100"/>
              <w:bottom w:type="dxa" w:w="60"/>
              <w:right w:type="dxa" w:w="100"/>
            </w:tcMar>
          </w:tcPr>
          <w:p>
            <w:pPr>
              <w:spacing w:after="0"/>
            </w:pPr>
            <w:r>
              <w:rPr>
                <w:sz w:val="19"/>
                <w:szCs w:val="19"/>
              </w:rPr>
              <w:t xml:space="preserve">Nimetty ulkopuolinen henkilö (toinen opiskelija, työpaikkaohjaaja tai muu sovittu), ei oma ohjaaja. Esittää katselmoinnissa asiakasta, kokeilee julkaistua kauppaa tehtäväradalla ja antaa palautteen omin sanoin. Repositoryyn kirjataan vain rooli.</w:t>
            </w:r>
          </w:p>
        </w:tc>
      </w:tr>
      <w:tr>
        <w:tc>
          <w:tcPr>
            <w:tcW w:type="dxa" w:w="2602"/>
            <w:shd w:fill="fdf5ef" w:val="clear"/>
            <w:tcMar>
              <w:top w:type="dxa" w:w="60"/>
              <w:left w:type="dxa" w:w="100"/>
              <w:bottom w:type="dxa" w:w="60"/>
              <w:right w:type="dxa" w:w="100"/>
            </w:tcMar>
          </w:tcPr>
          <w:p>
            <w:pPr>
              <w:spacing w:after="0"/>
            </w:pPr>
            <w:r>
              <w:rPr>
                <w:b/>
                <w:bCs/>
                <w:sz w:val="19"/>
                <w:szCs w:val="19"/>
              </w:rPr>
              <w:t xml:space="preserve">Julkaisutestaaja (viikko 16)</w:t>
            </w:r>
          </w:p>
        </w:tc>
        <w:tc>
          <w:tcPr>
            <w:tcW w:type="dxa" w:w="7036"/>
            <w:tcMar>
              <w:top w:type="dxa" w:w="60"/>
              <w:left w:type="dxa" w:w="100"/>
              <w:bottom w:type="dxa" w:w="60"/>
              <w:right w:type="dxa" w:w="100"/>
            </w:tcMar>
          </w:tcPr>
          <w:p>
            <w:pPr>
              <w:spacing w:after="0"/>
            </w:pPr>
            <w:r>
              <w:rPr>
                <w:sz w:val="19"/>
                <w:szCs w:val="19"/>
              </w:rPr>
              <w:t xml:space="preserve">Nimetty ulkopuolinen, mieluiten eri henkilö kuin viikolla 10. Ottaa kaupan käyttöön puhtaassa ympäristössä pelkän kirjoitetun ohjeen avulla ilman suullista apua.</w:t>
            </w:r>
          </w:p>
        </w:tc>
      </w:tr>
      <w:tr>
        <w:tc>
          <w:tcPr>
            <w:tcW w:type="dxa" w:w="2602"/>
            <w:shd w:fill="fdf5ef" w:val="clear"/>
            <w:tcMar>
              <w:top w:type="dxa" w:w="60"/>
              <w:left w:type="dxa" w:w="100"/>
              <w:bottom w:type="dxa" w:w="60"/>
              <w:right w:type="dxa" w:w="100"/>
            </w:tcMar>
          </w:tcPr>
          <w:p>
            <w:pPr>
              <w:spacing w:after="0"/>
            </w:pPr>
            <w:r>
              <w:rPr>
                <w:b/>
                <w:bCs/>
                <w:sz w:val="19"/>
                <w:szCs w:val="19"/>
              </w:rPr>
              <w:t xml:space="preserve">Arvioija</w:t>
            </w:r>
          </w:p>
        </w:tc>
        <w:tc>
          <w:tcPr>
            <w:tcW w:type="dxa" w:w="7036"/>
            <w:tcMar>
              <w:top w:type="dxa" w:w="60"/>
              <w:left w:type="dxa" w:w="100"/>
              <w:bottom w:type="dxa" w:w="60"/>
              <w:right w:type="dxa" w:w="100"/>
            </w:tcMar>
          </w:tcPr>
          <w:p>
            <w:pPr>
              <w:spacing w:after="0"/>
            </w:pPr>
            <w:r>
              <w:rPr>
                <w:sz w:val="19"/>
                <w:szCs w:val="19"/>
              </w:rPr>
              <w:t xml:space="preserve">Arvioi näytön 32 vaatimusta työnäytteiden ja demon perusteella; käyttää opiskelijan tiedostoa project-docs/nayttomatriisi.md hakemistona.</w:t>
            </w:r>
          </w:p>
        </w:tc>
      </w:tr>
    </w:tbl>
    <w:p>
      <w:pPr>
        <w:pStyle w:val="Heading1"/>
        <w:spacing w:before="320" w:after="160"/>
      </w:pPr>
      <w:r>
        <w:rPr>
          <w:b/>
          <w:bCs/>
          <w:color w:val="9a3412"/>
        </w:rPr>
        <w:t xml:space="preserve">3 · Laadun tarkistuspisteet</w:t>
      </w:r>
    </w:p>
    <w:p>
      <w:pPr>
        <w:spacing w:after="120" w:before="0"/>
      </w:pPr>
      <w:r>
        <w:rPr>
          <w:sz w:val="21"/>
          <w:szCs w:val="21"/>
        </w:rPr>
        <w:t xml:space="preserve">Opettaja tarkistaa laadun ja antaa palautteen näissä kohdissa. Muut viikot opiskelija työskentelee itsenäisesti sivuston ohjeilla.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3181"/>
        <w:gridCol w:w="5011"/>
      </w:tblGrid>
      <w:tr>
        <w:trPr>
          <w:tblHeader/>
        </w:trPr>
        <w:tc>
          <w:tcPr>
            <w:tcW w:type="dxa" w:w="1446"/>
            <w:shd w:fill="fbeee5" w:val="clear"/>
            <w:tcMar>
              <w:top w:type="dxa" w:w="60"/>
              <w:left w:type="dxa" w:w="100"/>
              <w:bottom w:type="dxa" w:w="60"/>
              <w:right w:type="dxa" w:w="100"/>
            </w:tcMar>
          </w:tcPr>
          <w:p>
            <w:pPr>
              <w:spacing w:after="0"/>
            </w:pPr>
            <w:r>
              <w:rPr>
                <w:b/>
                <w:bCs/>
                <w:sz w:val="19"/>
                <w:szCs w:val="19"/>
              </w:rPr>
              <w:t xml:space="preserve">Viikko</w:t>
            </w:r>
          </w:p>
        </w:tc>
        <w:tc>
          <w:tcPr>
            <w:tcW w:type="dxa" w:w="3181"/>
            <w:shd w:fill="fbeee5" w:val="clear"/>
            <w:tcMar>
              <w:top w:type="dxa" w:w="60"/>
              <w:left w:type="dxa" w:w="100"/>
              <w:bottom w:type="dxa" w:w="60"/>
              <w:right w:type="dxa" w:w="100"/>
            </w:tcMar>
          </w:tcPr>
          <w:p>
            <w:pPr>
              <w:spacing w:after="0"/>
            </w:pPr>
            <w:r>
              <w:rPr>
                <w:b/>
                <w:bCs/>
                <w:sz w:val="19"/>
                <w:szCs w:val="19"/>
              </w:rPr>
              <w:t xml:space="preserve">Tarkistuspiste</w:t>
            </w:r>
          </w:p>
        </w:tc>
        <w:tc>
          <w:tcPr>
            <w:tcW w:type="dxa" w:w="5011"/>
            <w:shd w:fill="fbeee5" w:val="clear"/>
            <w:tcMar>
              <w:top w:type="dxa" w:w="60"/>
              <w:left w:type="dxa" w:w="100"/>
              <w:bottom w:type="dxa" w:w="60"/>
              <w:right w:type="dxa" w:w="100"/>
            </w:tcMar>
          </w:tcPr>
          <w:p>
            <w:pPr>
              <w:spacing w:after="0"/>
            </w:pPr>
            <w:r>
              <w:rPr>
                <w:b/>
                <w:bCs/>
                <w:sz w:val="19"/>
                <w:szCs w:val="19"/>
              </w:rPr>
              <w:t xml:space="preserve">Mitä tarkistetaan</w:t>
            </w:r>
          </w:p>
        </w:tc>
      </w:tr>
      <w:tr>
        <w:tc>
          <w:tcPr>
            <w:tcW w:type="dxa" w:w="1446"/>
            <w:tcMar>
              <w:top w:type="dxa" w:w="60"/>
              <w:left w:type="dxa" w:w="100"/>
              <w:bottom w:type="dxa" w:w="60"/>
              <w:right w:type="dxa" w:w="100"/>
            </w:tcMar>
          </w:tcPr>
          <w:p>
            <w:pPr>
              <w:spacing w:after="0"/>
            </w:pPr>
            <w:r>
              <w:rPr>
                <w:sz w:val="19"/>
                <w:szCs w:val="19"/>
              </w:rPr>
              <w:t xml:space="preserve">1</w:t>
            </w:r>
          </w:p>
        </w:tc>
        <w:tc>
          <w:tcPr>
            <w:tcW w:type="dxa" w:w="3181"/>
            <w:tcMar>
              <w:top w:type="dxa" w:w="60"/>
              <w:left w:type="dxa" w:w="100"/>
              <w:bottom w:type="dxa" w:w="60"/>
              <w:right w:type="dxa" w:w="100"/>
            </w:tcMar>
          </w:tcPr>
          <w:p>
            <w:pPr>
              <w:spacing w:after="0"/>
            </w:pPr>
            <w:r>
              <w:rPr>
                <w:sz w:val="19"/>
                <w:szCs w:val="19"/>
              </w:rPr>
              <w:t xml:space="preserve">Toimeksianto ja ympäristö</w:t>
            </w:r>
          </w:p>
        </w:tc>
        <w:tc>
          <w:tcPr>
            <w:tcW w:type="dxa" w:w="5011"/>
            <w:tcMar>
              <w:top w:type="dxa" w:w="60"/>
              <w:left w:type="dxa" w:w="100"/>
              <w:bottom w:type="dxa" w:w="60"/>
              <w:right w:type="dxa" w:w="100"/>
            </w:tcMar>
          </w:tcPr>
          <w:p>
            <w:pPr>
              <w:spacing w:after="0"/>
            </w:pPr>
            <w:r>
              <w:rPr>
                <w:sz w:val="19"/>
                <w:szCs w:val="19"/>
              </w:rPr>
              <w:t xml:space="preserve">Kysymyslista on tehty ja vastattu; repo on olemassa; molemmat kehityspalvelimet käynnistyvät. Katselmoijien etsintä on käynnistetty.</w:t>
            </w:r>
          </w:p>
        </w:tc>
      </w:tr>
      <w:tr>
        <w:tc>
          <w:tcPr>
            <w:tcW w:type="dxa" w:w="1446"/>
            <w:tcMar>
              <w:top w:type="dxa" w:w="60"/>
              <w:left w:type="dxa" w:w="100"/>
              <w:bottom w:type="dxa" w:w="60"/>
              <w:right w:type="dxa" w:w="100"/>
            </w:tcMar>
          </w:tcPr>
          <w:p>
            <w:pPr>
              <w:spacing w:after="0"/>
            </w:pPr>
            <w:r>
              <w:rPr>
                <w:sz w:val="19"/>
                <w:szCs w:val="19"/>
              </w:rPr>
              <w:t xml:space="preserve">2</w:t>
            </w:r>
          </w:p>
        </w:tc>
        <w:tc>
          <w:tcPr>
            <w:tcW w:type="dxa" w:w="3181"/>
            <w:tcMar>
              <w:top w:type="dxa" w:w="60"/>
              <w:left w:type="dxa" w:w="100"/>
              <w:bottom w:type="dxa" w:w="60"/>
              <w:right w:type="dxa" w:w="100"/>
            </w:tcMar>
          </w:tcPr>
          <w:p>
            <w:pPr>
              <w:spacing w:after="0"/>
            </w:pPr>
            <w:r>
              <w:rPr>
                <w:sz w:val="19"/>
                <w:szCs w:val="19"/>
              </w:rPr>
              <w:t xml:space="preserve">Suunnitelma ja rajaus</w:t>
            </w:r>
          </w:p>
        </w:tc>
        <w:tc>
          <w:tcPr>
            <w:tcW w:type="dxa" w:w="5011"/>
            <w:tcMar>
              <w:top w:type="dxa" w:w="60"/>
              <w:left w:type="dxa" w:w="100"/>
              <w:bottom w:type="dxa" w:w="60"/>
              <w:right w:type="dxa" w:w="100"/>
            </w:tcMar>
          </w:tcPr>
          <w:p>
            <w:pPr>
              <w:spacing w:after="0"/>
            </w:pPr>
            <w:r>
              <w:rPr>
                <w:sz w:val="19"/>
                <w:szCs w:val="19"/>
              </w:rPr>
              <w:t xml:space="preserve">Käyttäjätarinat prioriteetteineen, tietomalli, tietovarastovertailu, teemapäätös ja vähintään kahdeksan issueta. Rautalankojen hyväksyntä kirjattu.</w:t>
            </w:r>
          </w:p>
        </w:tc>
      </w:tr>
      <w:tr>
        <w:tc>
          <w:tcPr>
            <w:tcW w:type="dxa" w:w="1446"/>
            <w:tcMar>
              <w:top w:type="dxa" w:w="60"/>
              <w:left w:type="dxa" w:w="100"/>
              <w:bottom w:type="dxa" w:w="60"/>
              <w:right w:type="dxa" w:w="100"/>
            </w:tcMar>
          </w:tcPr>
          <w:p>
            <w:pPr>
              <w:spacing w:after="0"/>
            </w:pPr>
            <w:r>
              <w:rPr>
                <w:sz w:val="19"/>
                <w:szCs w:val="19"/>
              </w:rPr>
              <w:t xml:space="preserve">5</w:t>
            </w:r>
          </w:p>
        </w:tc>
        <w:tc>
          <w:tcPr>
            <w:tcW w:type="dxa" w:w="3181"/>
            <w:tcMar>
              <w:top w:type="dxa" w:w="60"/>
              <w:left w:type="dxa" w:w="100"/>
              <w:bottom w:type="dxa" w:w="60"/>
              <w:right w:type="dxa" w:w="100"/>
            </w:tcMar>
          </w:tcPr>
          <w:p>
            <w:pPr>
              <w:spacing w:after="0"/>
            </w:pPr>
            <w:r>
              <w:rPr>
                <w:sz w:val="19"/>
                <w:szCs w:val="19"/>
              </w:rPr>
              <w:t xml:space="preserve">Ensijulkaisu</w:t>
            </w:r>
          </w:p>
        </w:tc>
        <w:tc>
          <w:tcPr>
            <w:tcW w:type="dxa" w:w="5011"/>
            <w:tcMar>
              <w:top w:type="dxa" w:w="60"/>
              <w:left w:type="dxa" w:w="100"/>
              <w:bottom w:type="dxa" w:w="60"/>
              <w:right w:type="dxa" w:w="100"/>
            </w:tcMar>
          </w:tcPr>
          <w:p>
            <w:pPr>
              <w:spacing w:after="0"/>
            </w:pPr>
            <w:r>
              <w:rPr>
                <w:sz w:val="19"/>
                <w:szCs w:val="19"/>
              </w:rPr>
              <w:t xml:space="preserve">Julkinen osoite toimii toisella laitteella; alustavertailu on kirjattu; salaisuudet eivät ole repossa.</w:t>
            </w:r>
          </w:p>
        </w:tc>
      </w:tr>
      <w:tr>
        <w:tc>
          <w:tcPr>
            <w:tcW w:type="dxa" w:w="1446"/>
            <w:tcMar>
              <w:top w:type="dxa" w:w="60"/>
              <w:left w:type="dxa" w:w="100"/>
              <w:bottom w:type="dxa" w:w="60"/>
              <w:right w:type="dxa" w:w="100"/>
            </w:tcMar>
          </w:tcPr>
          <w:p>
            <w:pPr>
              <w:spacing w:after="0"/>
            </w:pPr>
            <w:r>
              <w:rPr>
                <w:sz w:val="19"/>
                <w:szCs w:val="19"/>
              </w:rPr>
              <w:t xml:space="preserve">9</w:t>
            </w:r>
          </w:p>
        </w:tc>
        <w:tc>
          <w:tcPr>
            <w:tcW w:type="dxa" w:w="3181"/>
            <w:tcMar>
              <w:top w:type="dxa" w:w="60"/>
              <w:left w:type="dxa" w:w="100"/>
              <w:bottom w:type="dxa" w:w="60"/>
              <w:right w:type="dxa" w:w="100"/>
            </w:tcMar>
          </w:tcPr>
          <w:p>
            <w:pPr>
              <w:spacing w:after="0"/>
            </w:pPr>
            <w:r>
              <w:rPr>
                <w:sz w:val="19"/>
                <w:szCs w:val="19"/>
              </w:rPr>
              <w:t xml:space="preserve">Ostopolku valmis</w:t>
            </w:r>
          </w:p>
        </w:tc>
        <w:tc>
          <w:tcPr>
            <w:tcW w:type="dxa" w:w="5011"/>
            <w:tcMar>
              <w:top w:type="dxa" w:w="60"/>
              <w:left w:type="dxa" w:w="100"/>
              <w:bottom w:type="dxa" w:w="60"/>
              <w:right w:type="dxa" w:w="100"/>
            </w:tcMar>
          </w:tcPr>
          <w:p>
            <w:pPr>
              <w:spacing w:after="0"/>
            </w:pPr>
            <w:r>
              <w:rPr>
                <w:sz w:val="19"/>
                <w:szCs w:val="19"/>
              </w:rPr>
              <w:t xml:space="preserve">Tilaus tallentuu transaktiona tilaushetken hinnoilla; historia näyttää vain omat tilaukset; k4-lisäpaketin perustelu on kirjattu.</w:t>
            </w:r>
          </w:p>
        </w:tc>
      </w:tr>
      <w:tr>
        <w:tc>
          <w:tcPr>
            <w:tcW w:type="dxa" w:w="1446"/>
            <w:tcMar>
              <w:top w:type="dxa" w:w="60"/>
              <w:left w:type="dxa" w:w="100"/>
              <w:bottom w:type="dxa" w:w="60"/>
              <w:right w:type="dxa" w:w="100"/>
            </w:tcMar>
          </w:tcPr>
          <w:p>
            <w:pPr>
              <w:spacing w:after="0"/>
            </w:pPr>
            <w:r>
              <w:rPr>
                <w:sz w:val="19"/>
                <w:szCs w:val="19"/>
              </w:rPr>
              <w:t xml:space="preserve">10</w:t>
            </w:r>
          </w:p>
        </w:tc>
        <w:tc>
          <w:tcPr>
            <w:tcW w:type="dxa" w:w="3181"/>
            <w:tcMar>
              <w:top w:type="dxa" w:w="60"/>
              <w:left w:type="dxa" w:w="100"/>
              <w:bottom w:type="dxa" w:w="60"/>
              <w:right w:type="dxa" w:w="100"/>
            </w:tcMar>
          </w:tcPr>
          <w:p>
            <w:pPr>
              <w:spacing w:after="0"/>
            </w:pPr>
            <w:r>
              <w:rPr>
                <w:sz w:val="19"/>
                <w:szCs w:val="19"/>
              </w:rPr>
              <w:t xml:space="preserve">Asiakaskatselmointi</w:t>
            </w:r>
          </w:p>
        </w:tc>
        <w:tc>
          <w:tcPr>
            <w:tcW w:type="dxa" w:w="5011"/>
            <w:tcMar>
              <w:top w:type="dxa" w:w="60"/>
              <w:left w:type="dxa" w:w="100"/>
              <w:bottom w:type="dxa" w:w="60"/>
              <w:right w:type="dxa" w:w="100"/>
            </w:tcMar>
          </w:tcPr>
          <w:p>
            <w:pPr>
              <w:spacing w:after="0"/>
            </w:pPr>
            <w:r>
              <w:rPr>
                <w:sz w:val="19"/>
                <w:szCs w:val="19"/>
              </w:rPr>
              <w:t xml:space="preserve">Nimetty ulkopuolinen on testannut; sitaatit ja oma tulkinta ovat muistiossa erillään; palaute on issueina ja priorisoitu.</w:t>
            </w:r>
          </w:p>
        </w:tc>
      </w:tr>
      <w:tr>
        <w:tc>
          <w:tcPr>
            <w:tcW w:type="dxa" w:w="1446"/>
            <w:tcMar>
              <w:top w:type="dxa" w:w="60"/>
              <w:left w:type="dxa" w:w="100"/>
              <w:bottom w:type="dxa" w:w="60"/>
              <w:right w:type="dxa" w:w="100"/>
            </w:tcMar>
          </w:tcPr>
          <w:p>
            <w:pPr>
              <w:spacing w:after="0"/>
            </w:pPr>
            <w:r>
              <w:rPr>
                <w:sz w:val="19"/>
                <w:szCs w:val="19"/>
              </w:rPr>
              <w:t xml:space="preserve">13</w:t>
            </w:r>
          </w:p>
        </w:tc>
        <w:tc>
          <w:tcPr>
            <w:tcW w:type="dxa" w:w="3181"/>
            <w:tcMar>
              <w:top w:type="dxa" w:w="60"/>
              <w:left w:type="dxa" w:w="100"/>
              <w:bottom w:type="dxa" w:w="60"/>
              <w:right w:type="dxa" w:w="100"/>
            </w:tcMar>
          </w:tcPr>
          <w:p>
            <w:pPr>
              <w:spacing w:after="0"/>
            </w:pPr>
            <w:r>
              <w:rPr>
                <w:sz w:val="19"/>
                <w:szCs w:val="19"/>
              </w:rPr>
              <w:t xml:space="preserve">Ominaisuuslista päättyy</w:t>
            </w:r>
          </w:p>
        </w:tc>
        <w:tc>
          <w:tcPr>
            <w:tcW w:type="dxa" w:w="5011"/>
            <w:tcMar>
              <w:top w:type="dxa" w:w="60"/>
              <w:left w:type="dxa" w:w="100"/>
              <w:bottom w:type="dxa" w:w="60"/>
              <w:right w:type="dxa" w:w="100"/>
            </w:tcMar>
          </w:tcPr>
          <w:p>
            <w:pPr>
              <w:spacing w:after="0"/>
            </w:pPr>
            <w:r>
              <w:rPr>
                <w:sz w:val="19"/>
                <w:szCs w:val="19"/>
              </w:rPr>
              <w:t xml:space="preserve">Henkilökunnan tilausnäkymä toimii ja saavutettavuustarkistus on tehty Lighthouse-raportein. Tästä eteenpäin ei lisätä uusia ominaisuuksia.</w:t>
            </w:r>
          </w:p>
        </w:tc>
      </w:tr>
      <w:tr>
        <w:tc>
          <w:tcPr>
            <w:tcW w:type="dxa" w:w="1446"/>
            <w:tcMar>
              <w:top w:type="dxa" w:w="60"/>
              <w:left w:type="dxa" w:w="100"/>
              <w:bottom w:type="dxa" w:w="60"/>
              <w:right w:type="dxa" w:w="100"/>
            </w:tcMar>
          </w:tcPr>
          <w:p>
            <w:pPr>
              <w:spacing w:after="0"/>
            </w:pPr>
            <w:r>
              <w:rPr>
                <w:sz w:val="19"/>
                <w:szCs w:val="19"/>
              </w:rPr>
              <w:t xml:space="preserve">14</w:t>
            </w:r>
          </w:p>
        </w:tc>
        <w:tc>
          <w:tcPr>
            <w:tcW w:type="dxa" w:w="3181"/>
            <w:tcMar>
              <w:top w:type="dxa" w:w="60"/>
              <w:left w:type="dxa" w:w="100"/>
              <w:bottom w:type="dxa" w:w="60"/>
              <w:right w:type="dxa" w:w="100"/>
            </w:tcMar>
          </w:tcPr>
          <w:p>
            <w:pPr>
              <w:spacing w:after="0"/>
            </w:pPr>
            <w:r>
              <w:rPr>
                <w:sz w:val="19"/>
                <w:szCs w:val="19"/>
              </w:rPr>
              <w:t xml:space="preserve">Tietoturva-arvio</w:t>
            </w:r>
          </w:p>
        </w:tc>
        <w:tc>
          <w:tcPr>
            <w:tcW w:type="dxa" w:w="5011"/>
            <w:tcMar>
              <w:top w:type="dxa" w:w="60"/>
              <w:left w:type="dxa" w:w="100"/>
              <w:bottom w:type="dxa" w:w="60"/>
              <w:right w:type="dxa" w:w="100"/>
            </w:tcMar>
          </w:tcPr>
          <w:p>
            <w:pPr>
              <w:spacing w:after="0"/>
            </w:pPr>
            <w:r>
              <w:rPr>
                <w:sz w:val="19"/>
                <w:szCs w:val="19"/>
              </w:rPr>
              <w:t xml:space="preserve">Arvio läpikäydään ohjaajan kanssa: jokaisella riskillä on ratkaisu tai perusteltu jäännösriski; K3-ketju on kokonainen.</w:t>
            </w:r>
          </w:p>
        </w:tc>
      </w:tr>
      <w:tr>
        <w:tc>
          <w:tcPr>
            <w:tcW w:type="dxa" w:w="1446"/>
            <w:tcMar>
              <w:top w:type="dxa" w:w="60"/>
              <w:left w:type="dxa" w:w="100"/>
              <w:bottom w:type="dxa" w:w="60"/>
              <w:right w:type="dxa" w:w="100"/>
            </w:tcMar>
          </w:tcPr>
          <w:p>
            <w:pPr>
              <w:spacing w:after="0"/>
            </w:pPr>
            <w:r>
              <w:rPr>
                <w:sz w:val="19"/>
                <w:szCs w:val="19"/>
              </w:rPr>
              <w:t xml:space="preserve">16</w:t>
            </w:r>
          </w:p>
        </w:tc>
        <w:tc>
          <w:tcPr>
            <w:tcW w:type="dxa" w:w="3181"/>
            <w:tcMar>
              <w:top w:type="dxa" w:w="60"/>
              <w:left w:type="dxa" w:w="100"/>
              <w:bottom w:type="dxa" w:w="60"/>
              <w:right w:type="dxa" w:w="100"/>
            </w:tcMar>
          </w:tcPr>
          <w:p>
            <w:pPr>
              <w:spacing w:after="0"/>
            </w:pPr>
            <w:r>
              <w:rPr>
                <w:sz w:val="19"/>
                <w:szCs w:val="19"/>
              </w:rPr>
              <w:t xml:space="preserve">Julkaisuehdokas</w:t>
            </w:r>
          </w:p>
        </w:tc>
        <w:tc>
          <w:tcPr>
            <w:tcW w:type="dxa" w:w="5011"/>
            <w:tcMar>
              <w:top w:type="dxa" w:w="60"/>
              <w:left w:type="dxa" w:w="100"/>
              <w:bottom w:type="dxa" w:w="60"/>
              <w:right w:type="dxa" w:w="100"/>
            </w:tcMar>
          </w:tcPr>
          <w:p>
            <w:pPr>
              <w:spacing w:after="0"/>
            </w:pPr>
            <w:r>
              <w:rPr>
                <w:sz w:val="19"/>
                <w:szCs w:val="19"/>
              </w:rPr>
              <w:t xml:space="preserve">Tagi v1.0-rc1 on merkitty, repo on siivottu ja ulkopuolinen on tehnyt testitilauksen pelkän ohjeen avulla puhtaassa ympäristössä.</w:t>
            </w:r>
          </w:p>
        </w:tc>
      </w:tr>
      <w:tr>
        <w:tc>
          <w:tcPr>
            <w:tcW w:type="dxa" w:w="1446"/>
            <w:tcMar>
              <w:top w:type="dxa" w:w="60"/>
              <w:left w:type="dxa" w:w="100"/>
              <w:bottom w:type="dxa" w:w="60"/>
              <w:right w:type="dxa" w:w="100"/>
            </w:tcMar>
          </w:tcPr>
          <w:p>
            <w:pPr>
              <w:spacing w:after="0"/>
            </w:pPr>
            <w:r>
              <w:rPr>
                <w:sz w:val="19"/>
                <w:szCs w:val="19"/>
              </w:rPr>
              <w:t xml:space="preserve">18</w:t>
            </w:r>
          </w:p>
        </w:tc>
        <w:tc>
          <w:tcPr>
            <w:tcW w:type="dxa" w:w="3181"/>
            <w:tcMar>
              <w:top w:type="dxa" w:w="60"/>
              <w:left w:type="dxa" w:w="100"/>
              <w:bottom w:type="dxa" w:w="60"/>
              <w:right w:type="dxa" w:w="100"/>
            </w:tcMar>
          </w:tcPr>
          <w:p>
            <w:pPr>
              <w:spacing w:after="0"/>
            </w:pPr>
            <w:r>
              <w:rPr>
                <w:sz w:val="19"/>
                <w:szCs w:val="19"/>
              </w:rPr>
              <w:t xml:space="preserve">Näyttö</w:t>
            </w:r>
          </w:p>
        </w:tc>
        <w:tc>
          <w:tcPr>
            <w:tcW w:type="dxa" w:w="5011"/>
            <w:tcMar>
              <w:top w:type="dxa" w:w="60"/>
              <w:left w:type="dxa" w:w="100"/>
              <w:bottom w:type="dxa" w:w="60"/>
              <w:right w:type="dxa" w:w="100"/>
            </w:tcMar>
          </w:tcPr>
          <w:p>
            <w:pPr>
              <w:spacing w:after="0"/>
            </w:pPr>
            <w:r>
              <w:rPr>
                <w:sz w:val="19"/>
                <w:szCs w:val="19"/>
              </w:rPr>
              <w:t xml:space="preserve">project-docs/nayttomatriisi.md:n jokaisella rivillä on toimiva linkki; demo on harjoiteltu kellon kanssa; itsearviointi on kirjoitettu.</w:t>
            </w:r>
          </w:p>
        </w:tc>
      </w:tr>
    </w:tbl>
    <w:p>
      <w:r>
        <w:br w:type="page"/>
      </w:r>
    </w:p>
    <w:p>
      <w:pPr>
        <w:pStyle w:val="Heading1"/>
        <w:spacing w:before="320" w:after="160"/>
      </w:pPr>
      <w:r>
        <w:rPr>
          <w:b/>
          <w:bCs/>
          <w:color w:val="9a3412"/>
        </w:rPr>
        <w:t xml:space="preserve">4 · Arvioinnin kohteet ja työnäytteet</w:t>
      </w:r>
    </w:p>
    <w:p>
      <w:pPr>
        <w:spacing w:after="120" w:before="0"/>
      </w:pPr>
      <w:r>
        <w:rPr>
          <w:sz w:val="21"/>
          <w:szCs w:val="21"/>
        </w:rPr>
        <w:t xml:space="preserve">Sama työnäyte voi kelvata useaan kohtaan. Viikkosarake kertoo, missä työnäyte syntyy.</w:t>
      </w:r>
    </w:p>
    <w:p>
      <w:pPr>
        <w:pStyle w:val="Heading2"/>
        <w:spacing w:before="260" w:after="120"/>
      </w:pPr>
      <w:r>
        <w:rPr>
          <w:b/>
          <w:bCs/>
          <w:color w:val="9a3412"/>
        </w:rPr>
        <w:t xml:space="preserve">Ohjelmointi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fbeee5" w:val="clear"/>
            <w:tcMar>
              <w:top w:type="dxa" w:w="60"/>
              <w:left w:type="dxa" w:w="100"/>
              <w:bottom w:type="dxa" w:w="60"/>
              <w:right w:type="dxa" w:w="100"/>
            </w:tcMar>
          </w:tcPr>
          <w:p>
            <w:pPr>
              <w:spacing w:after="0"/>
            </w:pPr>
            <w:r>
              <w:rPr>
                <w:b/>
                <w:bCs/>
                <w:sz w:val="19"/>
                <w:szCs w:val="19"/>
              </w:rPr>
              <w:t xml:space="preserve">Arvioinnin kohde</w:t>
            </w:r>
          </w:p>
        </w:tc>
        <w:tc>
          <w:tcPr>
            <w:tcW w:type="dxa" w:w="964"/>
            <w:shd w:fill="fbeee5" w:val="clear"/>
            <w:tcMar>
              <w:top w:type="dxa" w:w="60"/>
              <w:left w:type="dxa" w:w="100"/>
              <w:bottom w:type="dxa" w:w="60"/>
              <w:right w:type="dxa" w:w="100"/>
            </w:tcMar>
          </w:tcPr>
          <w:p>
            <w:pPr>
              <w:spacing w:after="0"/>
            </w:pPr>
            <w:r>
              <w:rPr>
                <w:b/>
                <w:bCs/>
                <w:sz w:val="19"/>
                <w:szCs w:val="19"/>
              </w:rPr>
              <w:t xml:space="preserve">Vko</w:t>
            </w:r>
          </w:p>
        </w:tc>
        <w:tc>
          <w:tcPr>
            <w:tcW w:type="dxa" w:w="5975"/>
            <w:shd w:fill="fbeee5"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käyttää ohjelmointieditoria tai kehitysympäristöä</w:t>
            </w:r>
          </w:p>
        </w:tc>
        <w:tc>
          <w:tcPr>
            <w:tcW w:type="dxa" w:w="964"/>
            <w:tcMar>
              <w:top w:type="dxa" w:w="60"/>
              <w:left w:type="dxa" w:w="100"/>
              <w:bottom w:type="dxa" w:w="60"/>
              <w:right w:type="dxa" w:w="100"/>
            </w:tcMar>
          </w:tcPr>
          <w:p>
            <w:pPr>
              <w:spacing w:after="0"/>
            </w:pPr>
            <w:r>
              <w:rPr>
                <w:sz w:val="19"/>
                <w:szCs w:val="19"/>
              </w:rPr>
              <w:t xml:space="preserve">1</w:t>
            </w:r>
          </w:p>
        </w:tc>
        <w:tc>
          <w:tcPr>
            <w:tcW w:type="dxa" w:w="5975"/>
            <w:tcMar>
              <w:top w:type="dxa" w:w="60"/>
              <w:left w:type="dxa" w:w="100"/>
              <w:bottom w:type="dxa" w:w="60"/>
              <w:right w:type="dxa" w:w="100"/>
            </w:tcMar>
          </w:tcPr>
          <w:p>
            <w:pPr>
              <w:spacing w:after="0"/>
            </w:pPr>
            <w:r>
              <w:rPr>
                <w:sz w:val="19"/>
                <w:szCs w:val="19"/>
              </w:rPr>
              <w:t xml:space="preserve">Kehitysympäristö pystyssä: VS Code, Vite- ja FastAPI-kehityspalvelimet, selaimen kehittäjätyökalut; käynnistyskomennot READMEssä ja päiväkirjassa</w:t>
            </w:r>
          </w:p>
        </w:tc>
      </w:tr>
      <w:tr>
        <w:tc>
          <w:tcPr>
            <w:tcW w:type="dxa" w:w="2699"/>
            <w:tcMar>
              <w:top w:type="dxa" w:w="60"/>
              <w:left w:type="dxa" w:w="100"/>
              <w:bottom w:type="dxa" w:w="60"/>
              <w:right w:type="dxa" w:w="100"/>
            </w:tcMar>
          </w:tcPr>
          <w:p>
            <w:pPr>
              <w:spacing w:after="0"/>
            </w:pPr>
            <w:r>
              <w:rPr>
                <w:b/>
                <w:bCs/>
                <w:sz w:val="19"/>
                <w:szCs w:val="19"/>
              </w:rPr>
              <w:t xml:space="preserve">etsii ja korjaa virheitä ohjelmakoodista</w:t>
            </w:r>
          </w:p>
        </w:tc>
        <w:tc>
          <w:tcPr>
            <w:tcW w:type="dxa" w:w="964"/>
            <w:tcMar>
              <w:top w:type="dxa" w:w="60"/>
              <w:left w:type="dxa" w:w="100"/>
              <w:bottom w:type="dxa" w:w="60"/>
              <w:right w:type="dxa" w:w="100"/>
            </w:tcMar>
          </w:tcPr>
          <w:p>
            <w:pPr>
              <w:spacing w:after="0"/>
            </w:pPr>
            <w:r>
              <w:rPr>
                <w:sz w:val="19"/>
                <w:szCs w:val="19"/>
              </w:rPr>
              <w:t xml:space="preserve">7, 11, 14</w:t>
            </w:r>
          </w:p>
        </w:tc>
        <w:tc>
          <w:tcPr>
            <w:tcW w:type="dxa" w:w="5975"/>
            <w:tcMar>
              <w:top w:type="dxa" w:w="60"/>
              <w:left w:type="dxa" w:w="100"/>
              <w:bottom w:type="dxa" w:w="60"/>
              <w:right w:type="dxa" w:w="100"/>
            </w:tcMar>
          </w:tcPr>
          <w:p>
            <w:pPr>
              <w:spacing w:after="0"/>
            </w:pPr>
            <w:r>
              <w:rPr>
                <w:sz w:val="19"/>
                <w:szCs w:val="19"/>
              </w:rPr>
              <w:t xml:space="preserve">Kolme täydellistä virheenkorjausketjua (K1 ostoskori, K2 palautemuutos, K3 tietoturvalöydös): havainto → toisto → syy → korjauscommit → uusintatesti → regressiotesti</w:t>
            </w:r>
          </w:p>
        </w:tc>
      </w:tr>
      <w:tr>
        <w:tc>
          <w:tcPr>
            <w:tcW w:type="dxa" w:w="2699"/>
            <w:tcMar>
              <w:top w:type="dxa" w:w="60"/>
              <w:left w:type="dxa" w:w="100"/>
              <w:bottom w:type="dxa" w:w="60"/>
              <w:right w:type="dxa" w:w="100"/>
            </w:tcMar>
          </w:tcPr>
          <w:p>
            <w:pPr>
              <w:spacing w:after="0"/>
            </w:pPr>
            <w:r>
              <w:rPr>
                <w:b/>
                <w:bCs/>
                <w:sz w:val="19"/>
                <w:szCs w:val="19"/>
              </w:rPr>
              <w:t xml:space="preserve">testaa ohjelman toimintoja</w:t>
            </w:r>
          </w:p>
        </w:tc>
        <w:tc>
          <w:tcPr>
            <w:tcW w:type="dxa" w:w="964"/>
            <w:tcMar>
              <w:top w:type="dxa" w:w="60"/>
              <w:left w:type="dxa" w:w="100"/>
              <w:bottom w:type="dxa" w:w="60"/>
              <w:right w:type="dxa" w:w="100"/>
            </w:tcMar>
          </w:tcPr>
          <w:p>
            <w:pPr>
              <w:spacing w:after="0"/>
            </w:pPr>
            <w:r>
              <w:rPr>
                <w:sz w:val="19"/>
                <w:szCs w:val="19"/>
              </w:rPr>
              <w:t xml:space="preserve">15</w:t>
            </w:r>
          </w:p>
        </w:tc>
        <w:tc>
          <w:tcPr>
            <w:tcW w:type="dxa" w:w="5975"/>
            <w:tcMar>
              <w:top w:type="dxa" w:w="60"/>
              <w:left w:type="dxa" w:w="100"/>
              <w:bottom w:type="dxa" w:w="60"/>
              <w:right w:type="dxa" w:w="100"/>
            </w:tcMar>
          </w:tcPr>
          <w:p>
            <w:pPr>
              <w:spacing w:after="0"/>
            </w:pPr>
            <w:r>
              <w:rPr>
                <w:sz w:val="19"/>
                <w:szCs w:val="19"/>
              </w:rPr>
              <w:t xml:space="preserve">14 tapauksen testimatriisi (odotettu tulos kirjattu ennen ajoa) ajettuna julkaistua versiota vasten; uusintatestaukset korjausten jälkeen</w:t>
            </w:r>
          </w:p>
        </w:tc>
      </w:tr>
      <w:tr>
        <w:tc>
          <w:tcPr>
            <w:tcW w:type="dxa" w:w="2699"/>
            <w:tcMar>
              <w:top w:type="dxa" w:w="60"/>
              <w:left w:type="dxa" w:w="100"/>
              <w:bottom w:type="dxa" w:w="60"/>
              <w:right w:type="dxa" w:w="100"/>
            </w:tcMar>
          </w:tcPr>
          <w:p>
            <w:pPr>
              <w:spacing w:after="0"/>
            </w:pPr>
            <w:r>
              <w:rPr>
                <w:b/>
                <w:bCs/>
                <w:sz w:val="19"/>
                <w:szCs w:val="19"/>
              </w:rPr>
              <w:t xml:space="preserve">käyttää rakenteista ohjelmointia toteutuksissa</w:t>
            </w:r>
          </w:p>
        </w:tc>
        <w:tc>
          <w:tcPr>
            <w:tcW w:type="dxa" w:w="964"/>
            <w:tcMar>
              <w:top w:type="dxa" w:w="60"/>
              <w:left w:type="dxa" w:w="100"/>
              <w:bottom w:type="dxa" w:w="60"/>
              <w:right w:type="dxa" w:w="100"/>
            </w:tcMar>
          </w:tcPr>
          <w:p>
            <w:pPr>
              <w:spacing w:after="0"/>
            </w:pPr>
            <w:r>
              <w:rPr>
                <w:sz w:val="19"/>
                <w:szCs w:val="19"/>
              </w:rPr>
              <w:t xml:space="preserve">9</w:t>
            </w:r>
          </w:p>
        </w:tc>
        <w:tc>
          <w:tcPr>
            <w:tcW w:type="dxa" w:w="5975"/>
            <w:tcMar>
              <w:top w:type="dxa" w:w="60"/>
              <w:left w:type="dxa" w:w="100"/>
              <w:bottom w:type="dxa" w:w="60"/>
              <w:right w:type="dxa" w:w="100"/>
            </w:tcMar>
          </w:tcPr>
          <w:p>
            <w:pPr>
              <w:spacing w:after="0"/>
            </w:pPr>
            <w:r>
              <w:rPr>
                <w:sz w:val="19"/>
                <w:szCs w:val="19"/>
              </w:rPr>
              <w:t xml:space="preserve">Tilauslogiikka jaettuna moduuleihin ja funktioihin (reitit, kantakerros, validointi); frontissa komponentti- ja store-jako, ei yhtä jättitiedostoa</w:t>
            </w:r>
          </w:p>
        </w:tc>
      </w:tr>
      <w:tr>
        <w:tc>
          <w:tcPr>
            <w:tcW w:type="dxa" w:w="2699"/>
            <w:tcMar>
              <w:top w:type="dxa" w:w="60"/>
              <w:left w:type="dxa" w:w="100"/>
              <w:bottom w:type="dxa" w:w="60"/>
              <w:right w:type="dxa" w:w="100"/>
            </w:tcMar>
          </w:tcPr>
          <w:p>
            <w:pPr>
              <w:spacing w:after="0"/>
            </w:pPr>
            <w:r>
              <w:rPr>
                <w:b/>
                <w:bCs/>
                <w:sz w:val="19"/>
                <w:szCs w:val="19"/>
              </w:rPr>
              <w:t xml:space="preserve">kirjoittaa ylläpidettävää ohjelmakoodia</w:t>
            </w:r>
          </w:p>
        </w:tc>
        <w:tc>
          <w:tcPr>
            <w:tcW w:type="dxa" w:w="964"/>
            <w:tcMar>
              <w:top w:type="dxa" w:w="60"/>
              <w:left w:type="dxa" w:w="100"/>
              <w:bottom w:type="dxa" w:w="60"/>
              <w:right w:type="dxa" w:w="100"/>
            </w:tcMar>
          </w:tcPr>
          <w:p>
            <w:pPr>
              <w:spacing w:after="0"/>
            </w:pPr>
            <w:r>
              <w:rPr>
                <w:sz w:val="19"/>
                <w:szCs w:val="19"/>
              </w:rPr>
              <w:t xml:space="preserve">15</w:t>
            </w:r>
          </w:p>
        </w:tc>
        <w:tc>
          <w:tcPr>
            <w:tcW w:type="dxa" w:w="5975"/>
            <w:tcMar>
              <w:top w:type="dxa" w:w="60"/>
              <w:left w:type="dxa" w:w="100"/>
              <w:bottom w:type="dxa" w:w="60"/>
              <w:right w:type="dxa" w:w="100"/>
            </w:tcMar>
          </w:tcPr>
          <w:p>
            <w:pPr>
              <w:spacing w:after="0"/>
            </w:pPr>
            <w:r>
              <w:rPr>
                <w:sz w:val="19"/>
                <w:szCs w:val="19"/>
              </w:rPr>
              <w:t xml:space="preserve">Refaktorointicommitit perusteluineen: nimeäminen, toisteisuuden poisto, komponentin pilkkominen; testit vihreinä ennen ja jälkeen</w:t>
            </w:r>
          </w:p>
        </w:tc>
      </w:tr>
      <w:tr>
        <w:tc>
          <w:tcPr>
            <w:tcW w:type="dxa" w:w="2699"/>
            <w:tcMar>
              <w:top w:type="dxa" w:w="60"/>
              <w:left w:type="dxa" w:w="100"/>
              <w:bottom w:type="dxa" w:w="60"/>
              <w:right w:type="dxa" w:w="100"/>
            </w:tcMar>
          </w:tcPr>
          <w:p>
            <w:pPr>
              <w:spacing w:after="0"/>
            </w:pPr>
            <w:r>
              <w:rPr>
                <w:b/>
                <w:bCs/>
                <w:sz w:val="19"/>
                <w:szCs w:val="19"/>
              </w:rPr>
              <w:t xml:space="preserve">tulkitsee suunnitelmia ja toteuttaa käyttöliittymän tai sen osia</w:t>
            </w:r>
          </w:p>
        </w:tc>
        <w:tc>
          <w:tcPr>
            <w:tcW w:type="dxa" w:w="964"/>
            <w:tcMar>
              <w:top w:type="dxa" w:w="60"/>
              <w:left w:type="dxa" w:w="100"/>
              <w:bottom w:type="dxa" w:w="60"/>
              <w:right w:type="dxa" w:w="100"/>
            </w:tcMar>
          </w:tcPr>
          <w:p>
            <w:pPr>
              <w:spacing w:after="0"/>
            </w:pPr>
            <w:r>
              <w:rPr>
                <w:sz w:val="19"/>
                <w:szCs w:val="19"/>
              </w:rPr>
              <w:t xml:space="preserve">4</w:t>
            </w:r>
          </w:p>
        </w:tc>
        <w:tc>
          <w:tcPr>
            <w:tcW w:type="dxa" w:w="5975"/>
            <w:tcMar>
              <w:top w:type="dxa" w:w="60"/>
              <w:left w:type="dxa" w:w="100"/>
              <w:bottom w:type="dxa" w:w="60"/>
              <w:right w:type="dxa" w:w="100"/>
            </w:tcMar>
          </w:tcPr>
          <w:p>
            <w:pPr>
              <w:spacing w:after="0"/>
            </w:pPr>
            <w:r>
              <w:rPr>
                <w:sz w:val="19"/>
                <w:szCs w:val="19"/>
              </w:rPr>
              <w:t xml:space="preserve">Näkymät toteutettu viikon 2 hyväksytyistä rautalangoista; responsiivisuuden taitekohdat ja mobiilitestaus oikealla puhelimella</w:t>
            </w:r>
          </w:p>
        </w:tc>
      </w:tr>
      <w:tr>
        <w:tc>
          <w:tcPr>
            <w:tcW w:type="dxa" w:w="2699"/>
            <w:tcMar>
              <w:top w:type="dxa" w:w="60"/>
              <w:left w:type="dxa" w:w="100"/>
              <w:bottom w:type="dxa" w:w="60"/>
              <w:right w:type="dxa" w:w="100"/>
            </w:tcMar>
          </w:tcPr>
          <w:p>
            <w:pPr>
              <w:spacing w:after="0"/>
            </w:pPr>
            <w:r>
              <w:rPr>
                <w:b/>
                <w:bCs/>
                <w:sz w:val="19"/>
                <w:szCs w:val="19"/>
              </w:rPr>
              <w:t xml:space="preserve">tulkitsee suunnitelmia ja toteuttaa ohjelmiston toimintoja</w:t>
            </w:r>
          </w:p>
        </w:tc>
        <w:tc>
          <w:tcPr>
            <w:tcW w:type="dxa" w:w="964"/>
            <w:tcMar>
              <w:top w:type="dxa" w:w="60"/>
              <w:left w:type="dxa" w:w="100"/>
              <w:bottom w:type="dxa" w:w="60"/>
              <w:right w:type="dxa" w:w="100"/>
            </w:tcMar>
          </w:tcPr>
          <w:p>
            <w:pPr>
              <w:spacing w:after="0"/>
            </w:pPr>
            <w:r>
              <w:rPr>
                <w:sz w:val="19"/>
                <w:szCs w:val="19"/>
              </w:rPr>
              <w:t xml:space="preserve">9</w:t>
            </w:r>
          </w:p>
        </w:tc>
        <w:tc>
          <w:tcPr>
            <w:tcW w:type="dxa" w:w="5975"/>
            <w:tcMar>
              <w:top w:type="dxa" w:w="60"/>
              <w:left w:type="dxa" w:w="100"/>
              <w:bottom w:type="dxa" w:w="60"/>
              <w:right w:type="dxa" w:w="100"/>
            </w:tcMar>
          </w:tcPr>
          <w:p>
            <w:pPr>
              <w:spacing w:after="0"/>
            </w:pPr>
            <w:r>
              <w:rPr>
                <w:sz w:val="19"/>
                <w:szCs w:val="19"/>
              </w:rPr>
              <w:t xml:space="preserve">Tilaus ja tilaushistoria toteutettu käyttäjätarinoiden ja hyväksymiskriteerien mukaan; kytkentä tarina → issue → commit</w:t>
            </w:r>
          </w:p>
        </w:tc>
      </w:tr>
      <w:tr>
        <w:tc>
          <w:tcPr>
            <w:tcW w:type="dxa" w:w="2699"/>
            <w:tcMar>
              <w:top w:type="dxa" w:w="60"/>
              <w:left w:type="dxa" w:w="100"/>
              <w:bottom w:type="dxa" w:w="60"/>
              <w:right w:type="dxa" w:w="100"/>
            </w:tcMar>
          </w:tcPr>
          <w:p>
            <w:pPr>
              <w:spacing w:after="0"/>
            </w:pPr>
            <w:r>
              <w:rPr>
                <w:b/>
                <w:bCs/>
                <w:sz w:val="19"/>
                <w:szCs w:val="19"/>
              </w:rPr>
              <w:t xml:space="preserve">sopii tehtävistä tiimin muiden jäsenten kanssa</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Tehtävät sovittu ohjaajan kanssa ja kirjattu issueiksi; tehtävien tila näkyvänä koko projektin ajan (issue-taulu)</w:t>
            </w:r>
          </w:p>
        </w:tc>
      </w:tr>
      <w:tr>
        <w:tc>
          <w:tcPr>
            <w:tcW w:type="dxa" w:w="2699"/>
            <w:tcMar>
              <w:top w:type="dxa" w:w="60"/>
              <w:left w:type="dxa" w:w="100"/>
              <w:bottom w:type="dxa" w:w="60"/>
              <w:right w:type="dxa" w:w="100"/>
            </w:tcMar>
          </w:tcPr>
          <w:p>
            <w:pPr>
              <w:spacing w:after="0"/>
            </w:pPr>
            <w:r>
              <w:rPr>
                <w:b/>
                <w:bCs/>
                <w:sz w:val="19"/>
                <w:szCs w:val="19"/>
              </w:rPr>
              <w:t xml:space="preserve">etsii ratkaisuvaihtoehtoja ja ratkoo ongelmia yhdessä tiimin kanssa</w:t>
            </w:r>
          </w:p>
        </w:tc>
        <w:tc>
          <w:tcPr>
            <w:tcW w:type="dxa" w:w="964"/>
            <w:tcMar>
              <w:top w:type="dxa" w:w="60"/>
              <w:left w:type="dxa" w:w="100"/>
              <w:bottom w:type="dxa" w:w="60"/>
              <w:right w:type="dxa" w:w="100"/>
            </w:tcMar>
          </w:tcPr>
          <w:p>
            <w:pPr>
              <w:spacing w:after="0"/>
            </w:pPr>
            <w:r>
              <w:rPr>
                <w:sz w:val="19"/>
                <w:szCs w:val="19"/>
              </w:rPr>
              <w:t xml:space="preserve">7, 8</w:t>
            </w:r>
          </w:p>
        </w:tc>
        <w:tc>
          <w:tcPr>
            <w:tcW w:type="dxa" w:w="5975"/>
            <w:tcMar>
              <w:top w:type="dxa" w:w="60"/>
              <w:left w:type="dxa" w:w="100"/>
              <w:bottom w:type="dxa" w:w="60"/>
              <w:right w:type="dxa" w:w="100"/>
            </w:tcMar>
          </w:tcPr>
          <w:p>
            <w:pPr>
              <w:spacing w:after="0"/>
            </w:pPr>
            <w:r>
              <w:rPr>
                <w:sz w:val="19"/>
                <w:szCs w:val="19"/>
              </w:rPr>
              <w:t xml:space="preserve">Kaksi kirjattua vertailua ja yhteispäätöstä ohjaajan kanssa: korin tallennus (Pinia+localStorage vs. backend) ja istuntoratkaisu (JWT vs. eväste-sessio)</w:t>
            </w:r>
          </w:p>
        </w:tc>
      </w:tr>
      <w:tr>
        <w:tc>
          <w:tcPr>
            <w:tcW w:type="dxa" w:w="2699"/>
            <w:tcMar>
              <w:top w:type="dxa" w:w="60"/>
              <w:left w:type="dxa" w:w="100"/>
              <w:bottom w:type="dxa" w:w="60"/>
              <w:right w:type="dxa" w:w="100"/>
            </w:tcMar>
          </w:tcPr>
          <w:p>
            <w:pPr>
              <w:spacing w:after="0"/>
            </w:pPr>
            <w:r>
              <w:rPr>
                <w:b/>
                <w:bCs/>
                <w:sz w:val="19"/>
                <w:szCs w:val="19"/>
              </w:rPr>
              <w:t xml:space="preserve">arvioi ratkaisujen toimivuuden yhdessä tiimin kanssa</w:t>
            </w:r>
          </w:p>
        </w:tc>
        <w:tc>
          <w:tcPr>
            <w:tcW w:type="dxa" w:w="964"/>
            <w:tcMar>
              <w:top w:type="dxa" w:w="60"/>
              <w:left w:type="dxa" w:w="100"/>
              <w:bottom w:type="dxa" w:w="60"/>
              <w:right w:type="dxa" w:w="100"/>
            </w:tcMar>
          </w:tcPr>
          <w:p>
            <w:pPr>
              <w:spacing w:after="0"/>
            </w:pPr>
            <w:r>
              <w:rPr>
                <w:sz w:val="19"/>
                <w:szCs w:val="19"/>
              </w:rPr>
              <w:t xml:space="preserve">10</w:t>
            </w:r>
          </w:p>
        </w:tc>
        <w:tc>
          <w:tcPr>
            <w:tcW w:type="dxa" w:w="5975"/>
            <w:tcMar>
              <w:top w:type="dxa" w:w="60"/>
              <w:left w:type="dxa" w:w="100"/>
              <w:bottom w:type="dxa" w:w="60"/>
              <w:right w:type="dxa" w:w="100"/>
            </w:tcMar>
          </w:tcPr>
          <w:p>
            <w:pPr>
              <w:spacing w:after="0"/>
            </w:pPr>
            <w:r>
              <w:rPr>
                <w:sz w:val="19"/>
                <w:szCs w:val="19"/>
              </w:rPr>
              <w:t xml:space="preserve">Asiakaskatselmoinnin muistio: täyttääkö toteutus tarinat, mitä muutetaan ennen seuraavaa versiota; priorisoitu ohjaajan kanssa</w:t>
            </w:r>
          </w:p>
        </w:tc>
      </w:tr>
      <w:tr>
        <w:tc>
          <w:tcPr>
            <w:tcW w:type="dxa" w:w="2699"/>
            <w:tcMar>
              <w:top w:type="dxa" w:w="60"/>
              <w:left w:type="dxa" w:w="100"/>
              <w:bottom w:type="dxa" w:w="60"/>
              <w:right w:type="dxa" w:w="100"/>
            </w:tcMar>
          </w:tcPr>
          <w:p>
            <w:pPr>
              <w:spacing w:after="0"/>
            </w:pPr>
            <w:r>
              <w:rPr>
                <w:b/>
                <w:bCs/>
                <w:sz w:val="19"/>
                <w:szCs w:val="19"/>
              </w:rPr>
              <w:t xml:space="preserve">arvioi omaa toimintaa tiimin jäsenenä</w:t>
            </w:r>
          </w:p>
        </w:tc>
        <w:tc>
          <w:tcPr>
            <w:tcW w:type="dxa" w:w="964"/>
            <w:tcMar>
              <w:top w:type="dxa" w:w="60"/>
              <w:left w:type="dxa" w:w="100"/>
              <w:bottom w:type="dxa" w:w="60"/>
              <w:right w:type="dxa" w:w="100"/>
            </w:tcMar>
          </w:tcPr>
          <w:p>
            <w:pPr>
              <w:spacing w:after="0"/>
            </w:pPr>
            <w:r>
              <w:rPr>
                <w:sz w:val="19"/>
                <w:szCs w:val="19"/>
              </w:rPr>
              <w:t xml:space="preserve">18</w:t>
            </w:r>
          </w:p>
        </w:tc>
        <w:tc>
          <w:tcPr>
            <w:tcW w:type="dxa" w:w="5975"/>
            <w:tcMar>
              <w:top w:type="dxa" w:w="60"/>
              <w:left w:type="dxa" w:w="100"/>
              <w:bottom w:type="dxa" w:w="60"/>
              <w:right w:type="dxa" w:w="100"/>
            </w:tcMar>
          </w:tcPr>
          <w:p>
            <w:pPr>
              <w:spacing w:after="0"/>
            </w:pPr>
            <w:r>
              <w:rPr>
                <w:sz w:val="19"/>
                <w:szCs w:val="19"/>
              </w:rPr>
              <w:t xml:space="preserve">Itsearviointi konkreettisin tilantein: mikä onnistui, missä tarvitsi apua, mitä tekisi toisin</w:t>
            </w:r>
          </w:p>
        </w:tc>
      </w:tr>
    </w:tbl>
    <w:p>
      <w:pPr>
        <w:spacing w:after="120" w:before="0"/>
      </w:pPr>
      <w:r>
        <w:rPr>
          <w:sz w:val="21"/>
          <w:szCs w:val="21"/>
        </w:rPr>
      </w:r>
    </w:p>
    <w:p>
      <w:pPr>
        <w:pStyle w:val="Heading2"/>
        <w:spacing w:before="260" w:after="120"/>
      </w:pPr>
      <w:r>
        <w:rPr>
          <w:b/>
          <w:bCs/>
          <w:color w:val="9a3412"/>
        </w:rPr>
        <w:t xml:space="preserve">Ohjelmistokehittäjänä toimiminen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fbeee5" w:val="clear"/>
            <w:tcMar>
              <w:top w:type="dxa" w:w="60"/>
              <w:left w:type="dxa" w:w="100"/>
              <w:bottom w:type="dxa" w:w="60"/>
              <w:right w:type="dxa" w:w="100"/>
            </w:tcMar>
          </w:tcPr>
          <w:p>
            <w:pPr>
              <w:spacing w:after="0"/>
            </w:pPr>
            <w:r>
              <w:rPr>
                <w:b/>
                <w:bCs/>
                <w:sz w:val="19"/>
                <w:szCs w:val="19"/>
              </w:rPr>
              <w:t xml:space="preserve">Arvioinnin kohde</w:t>
            </w:r>
          </w:p>
        </w:tc>
        <w:tc>
          <w:tcPr>
            <w:tcW w:type="dxa" w:w="964"/>
            <w:shd w:fill="fbeee5" w:val="clear"/>
            <w:tcMar>
              <w:top w:type="dxa" w:w="60"/>
              <w:left w:type="dxa" w:w="100"/>
              <w:bottom w:type="dxa" w:w="60"/>
              <w:right w:type="dxa" w:w="100"/>
            </w:tcMar>
          </w:tcPr>
          <w:p>
            <w:pPr>
              <w:spacing w:after="0"/>
            </w:pPr>
            <w:r>
              <w:rPr>
                <w:b/>
                <w:bCs/>
                <w:sz w:val="19"/>
                <w:szCs w:val="19"/>
              </w:rPr>
              <w:t xml:space="preserve">Vko</w:t>
            </w:r>
          </w:p>
        </w:tc>
        <w:tc>
          <w:tcPr>
            <w:tcW w:type="dxa" w:w="5975"/>
            <w:shd w:fill="fbeee5"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selvittää kehitystiimin kanssa asiakkaan tarpeet</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Toimeksiannosta johdetut käyttäjätarinat, kysymyslista ja vastaukset, rajaus (maksaminen pois) kirjattuna</w:t>
            </w:r>
          </w:p>
        </w:tc>
      </w:tr>
      <w:tr>
        <w:tc>
          <w:tcPr>
            <w:tcW w:type="dxa" w:w="2699"/>
            <w:tcMar>
              <w:top w:type="dxa" w:w="60"/>
              <w:left w:type="dxa" w:w="100"/>
              <w:bottom w:type="dxa" w:w="60"/>
              <w:right w:type="dxa" w:w="100"/>
            </w:tcMar>
          </w:tcPr>
          <w:p>
            <w:pPr>
              <w:spacing w:after="0"/>
            </w:pPr>
            <w:r>
              <w:rPr>
                <w:b/>
                <w:bCs/>
                <w:sz w:val="19"/>
                <w:szCs w:val="19"/>
              </w:rPr>
              <w:t xml:space="preserve">viestii tekniset asiat asiakaslähtöisesti</w:t>
            </w:r>
          </w:p>
        </w:tc>
        <w:tc>
          <w:tcPr>
            <w:tcW w:type="dxa" w:w="964"/>
            <w:tcMar>
              <w:top w:type="dxa" w:w="60"/>
              <w:left w:type="dxa" w:w="100"/>
              <w:bottom w:type="dxa" w:w="60"/>
              <w:right w:type="dxa" w:w="100"/>
            </w:tcMar>
          </w:tcPr>
          <w:p>
            <w:pPr>
              <w:spacing w:after="0"/>
            </w:pPr>
            <w:r>
              <w:rPr>
                <w:sz w:val="19"/>
                <w:szCs w:val="19"/>
              </w:rPr>
              <w:t xml:space="preserve">10, 17</w:t>
            </w:r>
          </w:p>
        </w:tc>
        <w:tc>
          <w:tcPr>
            <w:tcW w:type="dxa" w:w="5975"/>
            <w:tcMar>
              <w:top w:type="dxa" w:w="60"/>
              <w:left w:type="dxa" w:w="100"/>
              <w:bottom w:type="dxa" w:w="60"/>
              <w:right w:type="dxa" w:w="100"/>
            </w:tcMar>
          </w:tcPr>
          <w:p>
            <w:pPr>
              <w:spacing w:after="0"/>
            </w:pPr>
            <w:r>
              <w:rPr>
                <w:sz w:val="19"/>
                <w:szCs w:val="19"/>
              </w:rPr>
              <w:t xml:space="preserve">Katselmoinnin asiakaskielinen yhteenveto ja viikon 17 luovutusviesti, ilman teknistä jargonia; maksurajauksen selitys asiakkaalle</w:t>
            </w:r>
          </w:p>
        </w:tc>
      </w:tr>
      <w:tr>
        <w:tc>
          <w:tcPr>
            <w:tcW w:type="dxa" w:w="2699"/>
            <w:tcMar>
              <w:top w:type="dxa" w:w="60"/>
              <w:left w:type="dxa" w:w="100"/>
              <w:bottom w:type="dxa" w:w="60"/>
              <w:right w:type="dxa" w:w="100"/>
            </w:tcMar>
          </w:tcPr>
          <w:p>
            <w:pPr>
              <w:spacing w:after="0"/>
            </w:pPr>
            <w:r>
              <w:rPr>
                <w:b/>
                <w:bCs/>
                <w:sz w:val="19"/>
                <w:szCs w:val="19"/>
              </w:rPr>
              <w:t xml:space="preserve">osallistuu version katselmointiin</w:t>
            </w:r>
          </w:p>
        </w:tc>
        <w:tc>
          <w:tcPr>
            <w:tcW w:type="dxa" w:w="964"/>
            <w:tcMar>
              <w:top w:type="dxa" w:w="60"/>
              <w:left w:type="dxa" w:w="100"/>
              <w:bottom w:type="dxa" w:w="60"/>
              <w:right w:type="dxa" w:w="100"/>
            </w:tcMar>
          </w:tcPr>
          <w:p>
            <w:pPr>
              <w:spacing w:after="0"/>
            </w:pPr>
            <w:r>
              <w:rPr>
                <w:sz w:val="19"/>
                <w:szCs w:val="19"/>
              </w:rPr>
              <w:t xml:space="preserve">10, 16</w:t>
            </w:r>
          </w:p>
        </w:tc>
        <w:tc>
          <w:tcPr>
            <w:tcW w:type="dxa" w:w="5975"/>
            <w:tcMar>
              <w:top w:type="dxa" w:w="60"/>
              <w:left w:type="dxa" w:w="100"/>
              <w:bottom w:type="dxa" w:w="60"/>
              <w:right w:type="dxa" w:w="100"/>
            </w:tcMar>
          </w:tcPr>
          <w:p>
            <w:pPr>
              <w:spacing w:after="0"/>
            </w:pPr>
            <w:r>
              <w:rPr>
                <w:sz w:val="19"/>
                <w:szCs w:val="19"/>
              </w:rPr>
              <w:t xml:space="preserve">Kaksi katselmointia: asiakaskatselmointi puolivälissä ja RC:n julkaisutestaus; muistiot rooleineen ja sitaatteineen</w:t>
            </w:r>
          </w:p>
        </w:tc>
      </w:tr>
      <w:tr>
        <w:tc>
          <w:tcPr>
            <w:tcW w:type="dxa" w:w="2699"/>
            <w:tcMar>
              <w:top w:type="dxa" w:w="60"/>
              <w:left w:type="dxa" w:w="100"/>
              <w:bottom w:type="dxa" w:w="60"/>
              <w:right w:type="dxa" w:w="100"/>
            </w:tcMar>
          </w:tcPr>
          <w:p>
            <w:pPr>
              <w:spacing w:after="0"/>
            </w:pPr>
            <w:r>
              <w:rPr>
                <w:b/>
                <w:bCs/>
                <w:sz w:val="19"/>
                <w:szCs w:val="19"/>
              </w:rPr>
              <w:t xml:space="preserve">asettaa kehitystiimin kanssa toteutettavat toiminnot tärkeysjärjestykseen</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Käyttäjätarinoiden P0/P1/P2-priorisointi perusteluineen; P0 = toimiva ostopolku ilman maksua</w:t>
            </w:r>
          </w:p>
        </w:tc>
      </w:tr>
      <w:tr>
        <w:tc>
          <w:tcPr>
            <w:tcW w:type="dxa" w:w="2699"/>
            <w:tcMar>
              <w:top w:type="dxa" w:w="60"/>
              <w:left w:type="dxa" w:w="100"/>
              <w:bottom w:type="dxa" w:w="60"/>
              <w:right w:type="dxa" w:w="100"/>
            </w:tcMar>
          </w:tcPr>
          <w:p>
            <w:pPr>
              <w:spacing w:after="0"/>
            </w:pPr>
            <w:r>
              <w:rPr>
                <w:b/>
                <w:bCs/>
                <w:sz w:val="19"/>
                <w:szCs w:val="19"/>
              </w:rPr>
              <w:t xml:space="preserve">jakaa kehitystiimin kanssa toteutettavat toiminnot tehtäviksi</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Tarinat pilkottu issueiksi (≥8 kpl), yksi issue ≈ 0,5–1 päivän työ; issue-taulu koko projektin ajan</w:t>
            </w:r>
          </w:p>
        </w:tc>
      </w:tr>
      <w:tr>
        <w:tc>
          <w:tcPr>
            <w:tcW w:type="dxa" w:w="2699"/>
            <w:tcMar>
              <w:top w:type="dxa" w:w="60"/>
              <w:left w:type="dxa" w:w="100"/>
              <w:bottom w:type="dxa" w:w="60"/>
              <w:right w:type="dxa" w:w="100"/>
            </w:tcMar>
          </w:tcPr>
          <w:p>
            <w:pPr>
              <w:spacing w:after="0"/>
            </w:pPr>
            <w:r>
              <w:rPr>
                <w:b/>
                <w:bCs/>
                <w:sz w:val="19"/>
                <w:szCs w:val="19"/>
              </w:rPr>
              <w:t xml:space="preserve">suunnittelee ja arvioi kehitystiimin kanssa tehtävien toteuttamista</w:t>
            </w:r>
          </w:p>
        </w:tc>
        <w:tc>
          <w:tcPr>
            <w:tcW w:type="dxa" w:w="964"/>
            <w:tcMar>
              <w:top w:type="dxa" w:w="60"/>
              <w:left w:type="dxa" w:w="100"/>
              <w:bottom w:type="dxa" w:w="60"/>
              <w:right w:type="dxa" w:w="100"/>
            </w:tcMar>
          </w:tcPr>
          <w:p>
            <w:pPr>
              <w:spacing w:after="0"/>
            </w:pPr>
            <w:r>
              <w:rPr>
                <w:sz w:val="19"/>
                <w:szCs w:val="19"/>
              </w:rPr>
              <w:t xml:space="preserve">11</w:t>
            </w:r>
          </w:p>
        </w:tc>
        <w:tc>
          <w:tcPr>
            <w:tcW w:type="dxa" w:w="5975"/>
            <w:tcMar>
              <w:top w:type="dxa" w:w="60"/>
              <w:left w:type="dxa" w:w="100"/>
              <w:bottom w:type="dxa" w:w="60"/>
              <w:right w:type="dxa" w:w="100"/>
            </w:tcMar>
          </w:tcPr>
          <w:p>
            <w:pPr>
              <w:spacing w:after="0"/>
            </w:pPr>
            <w:r>
              <w:rPr>
                <w:sz w:val="19"/>
                <w:szCs w:val="19"/>
              </w:rPr>
              <w:t xml:space="preserve">Työmääräarviot ja niiden päivitys toteutuneen perusteella: suunnitelman muutoshistoria näyttää mikä arvio muuttui ja miksi</w:t>
            </w:r>
          </w:p>
        </w:tc>
      </w:tr>
      <w:tr>
        <w:tc>
          <w:tcPr>
            <w:tcW w:type="dxa" w:w="2699"/>
            <w:tcMar>
              <w:top w:type="dxa" w:w="60"/>
              <w:left w:type="dxa" w:w="100"/>
              <w:bottom w:type="dxa" w:w="60"/>
              <w:right w:type="dxa" w:w="100"/>
            </w:tcMar>
          </w:tcPr>
          <w:p>
            <w:pPr>
              <w:spacing w:after="0"/>
            </w:pPr>
            <w:r>
              <w:rPr>
                <w:b/>
                <w:bCs/>
                <w:sz w:val="19"/>
                <w:szCs w:val="19"/>
              </w:rPr>
              <w:t xml:space="preserve">kehittää ohjelmiston toimintalogiikkaa</w:t>
            </w:r>
          </w:p>
        </w:tc>
        <w:tc>
          <w:tcPr>
            <w:tcW w:type="dxa" w:w="964"/>
            <w:tcMar>
              <w:top w:type="dxa" w:w="60"/>
              <w:left w:type="dxa" w:w="100"/>
              <w:bottom w:type="dxa" w:w="60"/>
              <w:right w:type="dxa" w:w="100"/>
            </w:tcMar>
          </w:tcPr>
          <w:p>
            <w:pPr>
              <w:spacing w:after="0"/>
            </w:pPr>
            <w:r>
              <w:rPr>
                <w:sz w:val="19"/>
                <w:szCs w:val="19"/>
              </w:rPr>
              <w:t xml:space="preserve">9, 13</w:t>
            </w:r>
          </w:p>
        </w:tc>
        <w:tc>
          <w:tcPr>
            <w:tcW w:type="dxa" w:w="5975"/>
            <w:tcMar>
              <w:top w:type="dxa" w:w="60"/>
              <w:left w:type="dxa" w:w="100"/>
              <w:bottom w:type="dxa" w:w="60"/>
              <w:right w:type="dxa" w:w="100"/>
            </w:tcMar>
          </w:tcPr>
          <w:p>
            <w:pPr>
              <w:spacing w:after="0"/>
            </w:pPr>
            <w:r>
              <w:rPr>
                <w:sz w:val="19"/>
                <w:szCs w:val="19"/>
              </w:rPr>
              <w:t xml:space="preserve">Tilauksen muodostus transaktiona, tilaushetken hinnat, tilausten tilat ja niiden muutokset, roolikohtaiset näkymät</w:t>
            </w:r>
          </w:p>
        </w:tc>
      </w:tr>
      <w:tr>
        <w:tc>
          <w:tcPr>
            <w:tcW w:type="dxa" w:w="2699"/>
            <w:tcMar>
              <w:top w:type="dxa" w:w="60"/>
              <w:left w:type="dxa" w:w="100"/>
              <w:bottom w:type="dxa" w:w="60"/>
              <w:right w:type="dxa" w:w="100"/>
            </w:tcMar>
          </w:tcPr>
          <w:p>
            <w:pPr>
              <w:spacing w:after="0"/>
            </w:pPr>
            <w:r>
              <w:rPr>
                <w:b/>
                <w:bCs/>
                <w:sz w:val="19"/>
                <w:szCs w:val="19"/>
              </w:rPr>
              <w:t xml:space="preserve">valitsee ohjelmistoon sopivan tietovaraston</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Kirjallinen vertailu SQLite / JSON / PostgreSQL datan rakenteen, käyttötilanteen ja laajuuden perusteella; sovitun valinnan (SQLite) perustelu suunnitelmassa</w:t>
            </w:r>
          </w:p>
        </w:tc>
      </w:tr>
      <w:tr>
        <w:tc>
          <w:tcPr>
            <w:tcW w:type="dxa" w:w="2699"/>
            <w:tcMar>
              <w:top w:type="dxa" w:w="60"/>
              <w:left w:type="dxa" w:w="100"/>
              <w:bottom w:type="dxa" w:w="60"/>
              <w:right w:type="dxa" w:w="100"/>
            </w:tcMar>
          </w:tcPr>
          <w:p>
            <w:pPr>
              <w:spacing w:after="0"/>
            </w:pPr>
            <w:r>
              <w:rPr>
                <w:b/>
                <w:bCs/>
                <w:sz w:val="19"/>
                <w:szCs w:val="19"/>
              </w:rPr>
              <w:t xml:space="preserve">toteuttaa yhteyden tietovarastoon</w:t>
            </w:r>
          </w:p>
        </w:tc>
        <w:tc>
          <w:tcPr>
            <w:tcW w:type="dxa" w:w="964"/>
            <w:tcMar>
              <w:top w:type="dxa" w:w="60"/>
              <w:left w:type="dxa" w:w="100"/>
              <w:bottom w:type="dxa" w:w="60"/>
              <w:right w:type="dxa" w:w="100"/>
            </w:tcMar>
          </w:tcPr>
          <w:p>
            <w:pPr>
              <w:spacing w:after="0"/>
            </w:pPr>
            <w:r>
              <w:rPr>
                <w:sz w:val="19"/>
                <w:szCs w:val="19"/>
              </w:rPr>
              <w:t xml:space="preserve">3, 12</w:t>
            </w:r>
          </w:p>
        </w:tc>
        <w:tc>
          <w:tcPr>
            <w:tcW w:type="dxa" w:w="5975"/>
            <w:tcMar>
              <w:top w:type="dxa" w:w="60"/>
              <w:left w:type="dxa" w:w="100"/>
              <w:bottom w:type="dxa" w:w="60"/>
              <w:right w:type="dxa" w:w="100"/>
            </w:tcMar>
          </w:tcPr>
          <w:p>
            <w:pPr>
              <w:spacing w:after="0"/>
            </w:pPr>
            <w:r>
              <w:rPr>
                <w:sz w:val="19"/>
                <w:szCs w:val="19"/>
              </w:rPr>
              <w:t xml:space="preserve">Luku (tuotelista, haku) ja kirjoitus (tilaukset, tuotehallinnan lisäys/muokkaus/poisto) SQLite-kantaan hallitusti</w:t>
            </w:r>
          </w:p>
        </w:tc>
      </w:tr>
      <w:tr>
        <w:tc>
          <w:tcPr>
            <w:tcW w:type="dxa" w:w="2699"/>
            <w:tcMar>
              <w:top w:type="dxa" w:w="60"/>
              <w:left w:type="dxa" w:w="100"/>
              <w:bottom w:type="dxa" w:w="60"/>
              <w:right w:type="dxa" w:w="100"/>
            </w:tcMar>
          </w:tcPr>
          <w:p>
            <w:pPr>
              <w:spacing w:after="0"/>
            </w:pPr>
            <w:r>
              <w:rPr>
                <w:b/>
                <w:bCs/>
                <w:sz w:val="19"/>
                <w:szCs w:val="19"/>
              </w:rPr>
              <w:t xml:space="preserve">hyödyntää rajapintoja ja käsittelee tietoa</w:t>
            </w:r>
          </w:p>
        </w:tc>
        <w:tc>
          <w:tcPr>
            <w:tcW w:type="dxa" w:w="964"/>
            <w:tcMar>
              <w:top w:type="dxa" w:w="60"/>
              <w:left w:type="dxa" w:w="100"/>
              <w:bottom w:type="dxa" w:w="60"/>
              <w:right w:type="dxa" w:w="100"/>
            </w:tcMar>
          </w:tcPr>
          <w:p>
            <w:pPr>
              <w:spacing w:after="0"/>
            </w:pPr>
            <w:r>
              <w:rPr>
                <w:sz w:val="19"/>
                <w:szCs w:val="19"/>
              </w:rPr>
              <w:t xml:space="preserve">6</w:t>
            </w:r>
          </w:p>
        </w:tc>
        <w:tc>
          <w:tcPr>
            <w:tcW w:type="dxa" w:w="5975"/>
            <w:tcMar>
              <w:top w:type="dxa" w:w="60"/>
              <w:left w:type="dxa" w:w="100"/>
              <w:bottom w:type="dxa" w:w="60"/>
              <w:right w:type="dxa" w:w="100"/>
            </w:tcMar>
          </w:tcPr>
          <w:p>
            <w:pPr>
              <w:spacing w:after="0"/>
            </w:pPr>
            <w:r>
              <w:rPr>
                <w:sz w:val="19"/>
                <w:szCs w:val="19"/>
              </w:rPr>
              <w:t xml:space="preserve">Oma REST-rajapinta: haku kyselyparametrilla, virhetilanteiden käsittely fetchissä, lataus/tyhjä/virhe-tilat käyttöliittymässä</w:t>
            </w:r>
          </w:p>
        </w:tc>
      </w:tr>
      <w:tr>
        <w:tc>
          <w:tcPr>
            <w:tcW w:type="dxa" w:w="2699"/>
            <w:tcMar>
              <w:top w:type="dxa" w:w="60"/>
              <w:left w:type="dxa" w:w="100"/>
              <w:bottom w:type="dxa" w:w="60"/>
              <w:right w:type="dxa" w:w="100"/>
            </w:tcMar>
          </w:tcPr>
          <w:p>
            <w:pPr>
              <w:spacing w:after="0"/>
            </w:pPr>
            <w:r>
              <w:rPr>
                <w:b/>
                <w:bCs/>
                <w:sz w:val="19"/>
                <w:szCs w:val="19"/>
              </w:rPr>
              <w:t xml:space="preserve">arvioi ohjelmiston tietoturvaa</w:t>
            </w:r>
          </w:p>
        </w:tc>
        <w:tc>
          <w:tcPr>
            <w:tcW w:type="dxa" w:w="964"/>
            <w:tcMar>
              <w:top w:type="dxa" w:w="60"/>
              <w:left w:type="dxa" w:w="100"/>
              <w:bottom w:type="dxa" w:w="60"/>
              <w:right w:type="dxa" w:w="100"/>
            </w:tcMar>
          </w:tcPr>
          <w:p>
            <w:pPr>
              <w:spacing w:after="0"/>
            </w:pPr>
            <w:r>
              <w:rPr>
                <w:sz w:val="19"/>
                <w:szCs w:val="19"/>
              </w:rPr>
              <w:t xml:space="preserve">8, 12, 14</w:t>
            </w:r>
          </w:p>
        </w:tc>
        <w:tc>
          <w:tcPr>
            <w:tcW w:type="dxa" w:w="5975"/>
            <w:tcMar>
              <w:top w:type="dxa" w:w="60"/>
              <w:left w:type="dxa" w:w="100"/>
              <w:bottom w:type="dxa" w:w="60"/>
              <w:right w:type="dxa" w:w="100"/>
            </w:tcMar>
          </w:tcPr>
          <w:p>
            <w:pPr>
              <w:spacing w:after="0"/>
            </w:pPr>
            <w:r>
              <w:rPr>
                <w:sz w:val="19"/>
                <w:szCs w:val="19"/>
              </w:rPr>
              <w:t xml:space="preserve">Salasanojen hashaus ja istuntopäätös (vko 8), kaksikerroksinen roolisuojaus (vko 12), tietoturva-arvio omine hyökkäystesteineen: injektio, XSS, IDOR (vko 14)</w:t>
            </w:r>
          </w:p>
        </w:tc>
      </w:tr>
      <w:tr>
        <w:tc>
          <w:tcPr>
            <w:tcW w:type="dxa" w:w="2699"/>
            <w:tcMar>
              <w:top w:type="dxa" w:w="60"/>
              <w:left w:type="dxa" w:w="100"/>
              <w:bottom w:type="dxa" w:w="60"/>
              <w:right w:type="dxa" w:w="100"/>
            </w:tcMar>
          </w:tcPr>
          <w:p>
            <w:pPr>
              <w:spacing w:after="0"/>
            </w:pPr>
            <w:r>
              <w:rPr>
                <w:b/>
                <w:bCs/>
                <w:sz w:val="19"/>
                <w:szCs w:val="19"/>
              </w:rPr>
              <w:t xml:space="preserve">käyttää versionhallintaa</w:t>
            </w:r>
          </w:p>
        </w:tc>
        <w:tc>
          <w:tcPr>
            <w:tcW w:type="dxa" w:w="964"/>
            <w:tcMar>
              <w:top w:type="dxa" w:w="60"/>
              <w:left w:type="dxa" w:w="100"/>
              <w:bottom w:type="dxa" w:w="60"/>
              <w:right w:type="dxa" w:w="100"/>
            </w:tcMar>
          </w:tcPr>
          <w:p>
            <w:pPr>
              <w:spacing w:after="0"/>
            </w:pPr>
            <w:r>
              <w:rPr>
                <w:sz w:val="19"/>
                <w:szCs w:val="19"/>
              </w:rPr>
              <w:t xml:space="preserve">1</w:t>
            </w:r>
          </w:p>
        </w:tc>
        <w:tc>
          <w:tcPr>
            <w:tcW w:type="dxa" w:w="5975"/>
            <w:tcMar>
              <w:top w:type="dxa" w:w="60"/>
              <w:left w:type="dxa" w:w="100"/>
              <w:bottom w:type="dxa" w:w="60"/>
              <w:right w:type="dxa" w:w="100"/>
            </w:tcMar>
          </w:tcPr>
          <w:p>
            <w:pPr>
              <w:spacing w:after="0"/>
            </w:pPr>
            <w:r>
              <w:rPr>
                <w:sz w:val="19"/>
                <w:szCs w:val="19"/>
              </w:rPr>
              <w:t xml:space="preserve">Git koko projektin ajan: tarkoituksenmukaiset commitit, etärepository, sovitut haarakäytännöt; commit-historia näyttöaineistona</w:t>
            </w:r>
          </w:p>
        </w:tc>
      </w:tr>
      <w:tr>
        <w:tc>
          <w:tcPr>
            <w:tcW w:type="dxa" w:w="2699"/>
            <w:tcMar>
              <w:top w:type="dxa" w:w="60"/>
              <w:left w:type="dxa" w:w="100"/>
              <w:bottom w:type="dxa" w:w="60"/>
              <w:right w:type="dxa" w:w="100"/>
            </w:tcMar>
          </w:tcPr>
          <w:p>
            <w:pPr>
              <w:spacing w:after="0"/>
            </w:pPr>
            <w:r>
              <w:rPr>
                <w:b/>
                <w:bCs/>
                <w:sz w:val="19"/>
                <w:szCs w:val="19"/>
              </w:rPr>
              <w:t xml:space="preserve">liittää ohjelman osan olemassa olevaan versioon</w:t>
            </w:r>
          </w:p>
        </w:tc>
        <w:tc>
          <w:tcPr>
            <w:tcW w:type="dxa" w:w="964"/>
            <w:tcMar>
              <w:top w:type="dxa" w:w="60"/>
              <w:left w:type="dxa" w:w="100"/>
              <w:bottom w:type="dxa" w:w="60"/>
              <w:right w:type="dxa" w:w="100"/>
            </w:tcMar>
          </w:tcPr>
          <w:p>
            <w:pPr>
              <w:spacing w:after="0"/>
            </w:pPr>
            <w:r>
              <w:rPr>
                <w:sz w:val="19"/>
                <w:szCs w:val="19"/>
              </w:rPr>
              <w:t xml:space="preserve">7</w:t>
            </w:r>
          </w:p>
        </w:tc>
        <w:tc>
          <w:tcPr>
            <w:tcW w:type="dxa" w:w="5975"/>
            <w:tcMar>
              <w:top w:type="dxa" w:w="60"/>
              <w:left w:type="dxa" w:w="100"/>
              <w:bottom w:type="dxa" w:w="60"/>
              <w:right w:type="dxa" w:w="100"/>
            </w:tcMar>
          </w:tcPr>
          <w:p>
            <w:pPr>
              <w:spacing w:after="0"/>
            </w:pPr>
            <w:r>
              <w:rPr>
                <w:sz w:val="19"/>
                <w:szCs w:val="19"/>
              </w:rPr>
              <w:t xml:space="preserve">Ostoskori toteutettu haarassa feature/ostoskori ja yhdistetty pull requestilla; mahdollinen konflikti ratkaistu ja kirjattu</w:t>
            </w:r>
          </w:p>
        </w:tc>
      </w:tr>
      <w:tr>
        <w:tc>
          <w:tcPr>
            <w:tcW w:type="dxa" w:w="2699"/>
            <w:tcMar>
              <w:top w:type="dxa" w:w="60"/>
              <w:left w:type="dxa" w:w="100"/>
              <w:bottom w:type="dxa" w:w="60"/>
              <w:right w:type="dxa" w:w="100"/>
            </w:tcMar>
          </w:tcPr>
          <w:p>
            <w:pPr>
              <w:spacing w:after="0"/>
            </w:pPr>
            <w:r>
              <w:rPr>
                <w:b/>
                <w:bCs/>
                <w:sz w:val="19"/>
                <w:szCs w:val="19"/>
              </w:rPr>
              <w:t xml:space="preserve">julkaisee ohjelman tuotantoympäristöön</w:t>
            </w:r>
          </w:p>
        </w:tc>
        <w:tc>
          <w:tcPr>
            <w:tcW w:type="dxa" w:w="964"/>
            <w:tcMar>
              <w:top w:type="dxa" w:w="60"/>
              <w:left w:type="dxa" w:w="100"/>
              <w:bottom w:type="dxa" w:w="60"/>
              <w:right w:type="dxa" w:w="100"/>
            </w:tcMar>
          </w:tcPr>
          <w:p>
            <w:pPr>
              <w:spacing w:after="0"/>
            </w:pPr>
            <w:r>
              <w:rPr>
                <w:sz w:val="19"/>
                <w:szCs w:val="19"/>
              </w:rPr>
              <w:t xml:space="preserve">5, 17</w:t>
            </w:r>
          </w:p>
        </w:tc>
        <w:tc>
          <w:tcPr>
            <w:tcW w:type="dxa" w:w="5975"/>
            <w:tcMar>
              <w:top w:type="dxa" w:w="60"/>
              <w:left w:type="dxa" w:w="100"/>
              <w:bottom w:type="dxa" w:w="60"/>
              <w:right w:type="dxa" w:w="100"/>
            </w:tcMar>
          </w:tcPr>
          <w:p>
            <w:pPr>
              <w:spacing w:after="0"/>
            </w:pPr>
            <w:r>
              <w:rPr>
                <w:sz w:val="19"/>
                <w:szCs w:val="19"/>
              </w:rPr>
              <w:t xml:space="preserve">Ensijulkaisu vertailtuun alustaan ympäristömuuttujineen (vko 5); RC- ja v1.0-julkaisut tageineen ja julkaisumuistioineen (vkot 16–17)</w:t>
            </w:r>
          </w:p>
        </w:tc>
      </w:tr>
    </w:tbl>
    <w:p>
      <w:pPr>
        <w:spacing w:after="120" w:before="0"/>
      </w:pPr>
      <w:r>
        <w:rPr>
          <w:sz w:val="21"/>
          <w:szCs w:val="21"/>
        </w:rPr>
      </w:r>
    </w:p>
    <w:p>
      <w:pPr>
        <w:pStyle w:val="Heading2"/>
        <w:spacing w:before="260" w:after="120"/>
      </w:pPr>
      <w:r>
        <w:rPr>
          <w:b/>
          <w:bCs/>
          <w:color w:val="9a3412"/>
        </w:rPr>
        <w:t xml:space="preserve">Ohjelmiston toteuttaminen ohjelmistokomponenttikirjastolla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fbeee5" w:val="clear"/>
            <w:tcMar>
              <w:top w:type="dxa" w:w="60"/>
              <w:left w:type="dxa" w:w="100"/>
              <w:bottom w:type="dxa" w:w="60"/>
              <w:right w:type="dxa" w:w="100"/>
            </w:tcMar>
          </w:tcPr>
          <w:p>
            <w:pPr>
              <w:spacing w:after="0"/>
            </w:pPr>
            <w:r>
              <w:rPr>
                <w:b/>
                <w:bCs/>
                <w:sz w:val="19"/>
                <w:szCs w:val="19"/>
              </w:rPr>
              <w:t xml:space="preserve">Arvioinnin kohde</w:t>
            </w:r>
          </w:p>
        </w:tc>
        <w:tc>
          <w:tcPr>
            <w:tcW w:type="dxa" w:w="964"/>
            <w:shd w:fill="fbeee5" w:val="clear"/>
            <w:tcMar>
              <w:top w:type="dxa" w:w="60"/>
              <w:left w:type="dxa" w:w="100"/>
              <w:bottom w:type="dxa" w:w="60"/>
              <w:right w:type="dxa" w:w="100"/>
            </w:tcMar>
          </w:tcPr>
          <w:p>
            <w:pPr>
              <w:spacing w:after="0"/>
            </w:pPr>
            <w:r>
              <w:rPr>
                <w:b/>
                <w:bCs/>
                <w:sz w:val="19"/>
                <w:szCs w:val="19"/>
              </w:rPr>
              <w:t xml:space="preserve">Vko</w:t>
            </w:r>
          </w:p>
        </w:tc>
        <w:tc>
          <w:tcPr>
            <w:tcW w:type="dxa" w:w="5975"/>
            <w:shd w:fill="fbeee5"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ottaa käyttöön ja konfiguroi ohjelmistokomponenttikirjaston käyttöön soveltuvan kehittämisympäristön</w:t>
            </w:r>
          </w:p>
        </w:tc>
        <w:tc>
          <w:tcPr>
            <w:tcW w:type="dxa" w:w="964"/>
            <w:tcMar>
              <w:top w:type="dxa" w:w="60"/>
              <w:left w:type="dxa" w:w="100"/>
              <w:bottom w:type="dxa" w:w="60"/>
              <w:right w:type="dxa" w:w="100"/>
            </w:tcMar>
          </w:tcPr>
          <w:p>
            <w:pPr>
              <w:spacing w:after="0"/>
            </w:pPr>
            <w:r>
              <w:rPr>
                <w:sz w:val="19"/>
                <w:szCs w:val="19"/>
              </w:rPr>
              <w:t xml:space="preserve">1, 5</w:t>
            </w:r>
          </w:p>
        </w:tc>
        <w:tc>
          <w:tcPr>
            <w:tcW w:type="dxa" w:w="5975"/>
            <w:tcMar>
              <w:top w:type="dxa" w:w="60"/>
              <w:left w:type="dxa" w:w="100"/>
              <w:bottom w:type="dxa" w:w="60"/>
              <w:right w:type="dxa" w:w="100"/>
            </w:tcMar>
          </w:tcPr>
          <w:p>
            <w:pPr>
              <w:spacing w:after="0"/>
            </w:pPr>
            <w:r>
              <w:rPr>
                <w:sz w:val="19"/>
                <w:szCs w:val="19"/>
              </w:rPr>
              <w:t xml:space="preserve">Vue 3 + Vite -projektin luonti ja konfigurointi; kehitys- ja tuotantoasetusten ero (API-osoite, build) dokumentoituna</w:t>
            </w:r>
          </w:p>
        </w:tc>
      </w:tr>
      <w:tr>
        <w:tc>
          <w:tcPr>
            <w:tcW w:type="dxa" w:w="2699"/>
            <w:tcMar>
              <w:top w:type="dxa" w:w="60"/>
              <w:left w:type="dxa" w:w="100"/>
              <w:bottom w:type="dxa" w:w="60"/>
              <w:right w:type="dxa" w:w="100"/>
            </w:tcMar>
          </w:tcPr>
          <w:p>
            <w:pPr>
              <w:spacing w:after="0"/>
            </w:pPr>
            <w:r>
              <w:rPr>
                <w:b/>
                <w:bCs/>
                <w:sz w:val="19"/>
                <w:szCs w:val="19"/>
              </w:rPr>
              <w:t xml:space="preserve">selvittää ohjelmistokomponenttikirjaston tarjoamat mahdollisuudet ja rajoitteet</w:t>
            </w:r>
          </w:p>
        </w:tc>
        <w:tc>
          <w:tcPr>
            <w:tcW w:type="dxa" w:w="964"/>
            <w:tcMar>
              <w:top w:type="dxa" w:w="60"/>
              <w:left w:type="dxa" w:w="100"/>
              <w:bottom w:type="dxa" w:w="60"/>
              <w:right w:type="dxa" w:w="100"/>
            </w:tcMar>
          </w:tcPr>
          <w:p>
            <w:pPr>
              <w:spacing w:after="0"/>
            </w:pPr>
            <w:r>
              <w:rPr>
                <w:sz w:val="19"/>
                <w:szCs w:val="19"/>
              </w:rPr>
              <w:t xml:space="preserve">2</w:t>
            </w:r>
          </w:p>
        </w:tc>
        <w:tc>
          <w:tcPr>
            <w:tcW w:type="dxa" w:w="5975"/>
            <w:tcMar>
              <w:top w:type="dxa" w:w="60"/>
              <w:left w:type="dxa" w:w="100"/>
              <w:bottom w:type="dxa" w:w="60"/>
              <w:right w:type="dxa" w:w="100"/>
            </w:tcMar>
          </w:tcPr>
          <w:p>
            <w:pPr>
              <w:spacing w:after="0"/>
            </w:pPr>
            <w:r>
              <w:rPr>
                <w:sz w:val="19"/>
                <w:szCs w:val="19"/>
              </w:rPr>
              <w:t xml:space="preserve">Selvitys project-docs/vue-pinia-selvitys.md (suunnitelman komponenttijako linkittää siihen): omat P0-tarinat taulukkona, mitä Vue/Pinia ratkaisee (komponentit, reaktiivisuus, tila) ja missä tarvitaan muuta (backend rooleille ja istunnoille, SPA:n rajoitteet)</w:t>
            </w:r>
          </w:p>
        </w:tc>
      </w:tr>
      <w:tr>
        <w:tc>
          <w:tcPr>
            <w:tcW w:type="dxa" w:w="2699"/>
            <w:tcMar>
              <w:top w:type="dxa" w:w="60"/>
              <w:left w:type="dxa" w:w="100"/>
              <w:bottom w:type="dxa" w:w="60"/>
              <w:right w:type="dxa" w:w="100"/>
            </w:tcMar>
          </w:tcPr>
          <w:p>
            <w:pPr>
              <w:spacing w:after="0"/>
            </w:pPr>
            <w:r>
              <w:rPr>
                <w:b/>
                <w:bCs/>
                <w:sz w:val="19"/>
                <w:szCs w:val="19"/>
              </w:rPr>
              <w:t xml:space="preserve">käyttää ohjelmistokomponenttikirjaston tärkeimpiä toimintoja ja työkaluja</w:t>
            </w:r>
          </w:p>
        </w:tc>
        <w:tc>
          <w:tcPr>
            <w:tcW w:type="dxa" w:w="964"/>
            <w:tcMar>
              <w:top w:type="dxa" w:w="60"/>
              <w:left w:type="dxa" w:w="100"/>
              <w:bottom w:type="dxa" w:w="60"/>
              <w:right w:type="dxa" w:w="100"/>
            </w:tcMar>
          </w:tcPr>
          <w:p>
            <w:pPr>
              <w:spacing w:after="0"/>
            </w:pPr>
            <w:r>
              <w:rPr>
                <w:sz w:val="19"/>
                <w:szCs w:val="19"/>
              </w:rPr>
              <w:t xml:space="preserve">3, 7</w:t>
            </w:r>
          </w:p>
        </w:tc>
        <w:tc>
          <w:tcPr>
            <w:tcW w:type="dxa" w:w="5975"/>
            <w:tcMar>
              <w:top w:type="dxa" w:w="60"/>
              <w:left w:type="dxa" w:w="100"/>
              <w:bottom w:type="dxa" w:w="60"/>
              <w:right w:type="dxa" w:w="100"/>
            </w:tcMar>
          </w:tcPr>
          <w:p>
            <w:pPr>
              <w:spacing w:after="0"/>
            </w:pPr>
            <w:r>
              <w:rPr>
                <w:sz w:val="19"/>
                <w:szCs w:val="19"/>
              </w:rPr>
              <w:t xml:space="preserve">Komponentit, propsit, computed-arvot ja Pinia-store (kori, auth) käytössä; itse rakennettu tuotelistanäkymä ilman valmista UI-kirjastoa</w:t>
            </w:r>
          </w:p>
        </w:tc>
      </w:tr>
      <w:tr>
        <w:tc>
          <w:tcPr>
            <w:tcW w:type="dxa" w:w="2699"/>
            <w:tcMar>
              <w:top w:type="dxa" w:w="60"/>
              <w:left w:type="dxa" w:w="100"/>
              <w:bottom w:type="dxa" w:w="60"/>
              <w:right w:type="dxa" w:w="100"/>
            </w:tcMar>
          </w:tcPr>
          <w:p>
            <w:pPr>
              <w:spacing w:after="0"/>
            </w:pPr>
            <w:r>
              <w:rPr>
                <w:b/>
                <w:bCs/>
                <w:sz w:val="19"/>
                <w:szCs w:val="19"/>
              </w:rPr>
              <w:t xml:space="preserve">tuo kehittämisympäristöön ulkoisia komponentteja</w:t>
            </w:r>
          </w:p>
        </w:tc>
        <w:tc>
          <w:tcPr>
            <w:tcW w:type="dxa" w:w="964"/>
            <w:tcMar>
              <w:top w:type="dxa" w:w="60"/>
              <w:left w:type="dxa" w:w="100"/>
              <w:bottom w:type="dxa" w:w="60"/>
              <w:right w:type="dxa" w:w="100"/>
            </w:tcMar>
          </w:tcPr>
          <w:p>
            <w:pPr>
              <w:spacing w:after="0"/>
            </w:pPr>
            <w:r>
              <w:rPr>
                <w:sz w:val="19"/>
                <w:szCs w:val="19"/>
              </w:rPr>
              <w:t xml:space="preserve">4, 9</w:t>
            </w:r>
          </w:p>
        </w:tc>
        <w:tc>
          <w:tcPr>
            <w:tcW w:type="dxa" w:w="5975"/>
            <w:tcMar>
              <w:top w:type="dxa" w:w="60"/>
              <w:left w:type="dxa" w:w="100"/>
              <w:bottom w:type="dxa" w:w="60"/>
              <w:right w:type="dxa" w:w="100"/>
            </w:tcMar>
          </w:tcPr>
          <w:p>
            <w:pPr>
              <w:spacing w:after="0"/>
            </w:pPr>
            <w:r>
              <w:rPr>
                <w:sz w:val="19"/>
                <w:szCs w:val="19"/>
              </w:rPr>
              <w:t xml:space="preserve">vue-router perusteltuna (reititys) ja yksi oma perusteltu lisäpaketti (esim. vee-validate); käyttötarkoitus, konfigurointi ja riippuvuusvaikutus kirjattu</w:t>
            </w:r>
          </w:p>
        </w:tc>
      </w:tr>
      <w:tr>
        <w:tc>
          <w:tcPr>
            <w:tcW w:type="dxa" w:w="2699"/>
            <w:tcMar>
              <w:top w:type="dxa" w:w="60"/>
              <w:left w:type="dxa" w:w="100"/>
              <w:bottom w:type="dxa" w:w="60"/>
              <w:right w:type="dxa" w:w="100"/>
            </w:tcMar>
          </w:tcPr>
          <w:p>
            <w:pPr>
              <w:spacing w:after="0"/>
            </w:pPr>
            <w:r>
              <w:rPr>
                <w:b/>
                <w:bCs/>
                <w:sz w:val="19"/>
                <w:szCs w:val="19"/>
              </w:rPr>
              <w:t xml:space="preserve">suunnittelee, toteuttaa ja testaa ohjelmiston ohjelmistokomponenttikirjastoa käyttäen</w:t>
            </w:r>
          </w:p>
        </w:tc>
        <w:tc>
          <w:tcPr>
            <w:tcW w:type="dxa" w:w="964"/>
            <w:tcMar>
              <w:top w:type="dxa" w:w="60"/>
              <w:left w:type="dxa" w:w="100"/>
              <w:bottom w:type="dxa" w:w="60"/>
              <w:right w:type="dxa" w:w="100"/>
            </w:tcMar>
          </w:tcPr>
          <w:p>
            <w:pPr>
              <w:spacing w:after="0"/>
            </w:pPr>
            <w:r>
              <w:rPr>
                <w:sz w:val="19"/>
                <w:szCs w:val="19"/>
              </w:rPr>
              <w:t xml:space="preserve">15</w:t>
            </w:r>
          </w:p>
        </w:tc>
        <w:tc>
          <w:tcPr>
            <w:tcW w:type="dxa" w:w="5975"/>
            <w:tcMar>
              <w:top w:type="dxa" w:w="60"/>
              <w:left w:type="dxa" w:w="100"/>
              <w:bottom w:type="dxa" w:w="60"/>
              <w:right w:type="dxa" w:w="100"/>
            </w:tcMar>
          </w:tcPr>
          <w:p>
            <w:pPr>
              <w:spacing w:after="0"/>
            </w:pPr>
            <w:r>
              <w:rPr>
                <w:sz w:val="19"/>
                <w:szCs w:val="19"/>
              </w:rPr>
              <w:t xml:space="preserve">Komponenttirakenne ja vastuut suunnitelmassa, tarinoiden mukainen toteutus ja koko testimatriisi kirjastopohjaista sovellusta vasten</w:t>
            </w:r>
          </w:p>
        </w:tc>
      </w:tr>
      <w:tr>
        <w:tc>
          <w:tcPr>
            <w:tcW w:type="dxa" w:w="2699"/>
            <w:tcMar>
              <w:top w:type="dxa" w:w="60"/>
              <w:left w:type="dxa" w:w="100"/>
              <w:bottom w:type="dxa" w:w="60"/>
              <w:right w:type="dxa" w:w="100"/>
            </w:tcMar>
          </w:tcPr>
          <w:p>
            <w:pPr>
              <w:spacing w:after="0"/>
            </w:pPr>
            <w:r>
              <w:rPr>
                <w:b/>
                <w:bCs/>
                <w:sz w:val="19"/>
                <w:szCs w:val="19"/>
              </w:rPr>
              <w:t xml:space="preserve">julkaisee ohjelmiston asiakkaan ympäristöön</w:t>
            </w:r>
          </w:p>
        </w:tc>
        <w:tc>
          <w:tcPr>
            <w:tcW w:type="dxa" w:w="964"/>
            <w:tcMar>
              <w:top w:type="dxa" w:w="60"/>
              <w:left w:type="dxa" w:w="100"/>
              <w:bottom w:type="dxa" w:w="60"/>
              <w:right w:type="dxa" w:w="100"/>
            </w:tcMar>
          </w:tcPr>
          <w:p>
            <w:pPr>
              <w:spacing w:after="0"/>
            </w:pPr>
            <w:r>
              <w:rPr>
                <w:sz w:val="19"/>
                <w:szCs w:val="19"/>
              </w:rPr>
              <w:t xml:space="preserve">17</w:t>
            </w:r>
          </w:p>
        </w:tc>
        <w:tc>
          <w:tcPr>
            <w:tcW w:type="dxa" w:w="5975"/>
            <w:tcMar>
              <w:top w:type="dxa" w:w="60"/>
              <w:left w:type="dxa" w:w="100"/>
              <w:bottom w:type="dxa" w:w="60"/>
              <w:right w:type="dxa" w:w="100"/>
            </w:tcMar>
          </w:tcPr>
          <w:p>
            <w:pPr>
              <w:spacing w:after="0"/>
            </w:pPr>
            <w:r>
              <w:rPr>
                <w:sz w:val="19"/>
                <w:szCs w:val="19"/>
              </w:rPr>
              <w:t xml:space="preserve">Tuotanto-build ja v1.0-julkaisu sovittuun ympäristöön; luovutus asiakkaalle ohjeineen</w:t>
            </w:r>
          </w:p>
        </w:tc>
      </w:tr>
      <w:tr>
        <w:tc>
          <w:tcPr>
            <w:tcW w:type="dxa" w:w="2699"/>
            <w:tcMar>
              <w:top w:type="dxa" w:w="60"/>
              <w:left w:type="dxa" w:w="100"/>
              <w:bottom w:type="dxa" w:w="60"/>
              <w:right w:type="dxa" w:w="100"/>
            </w:tcMar>
          </w:tcPr>
          <w:p>
            <w:pPr>
              <w:spacing w:after="0"/>
            </w:pPr>
            <w:r>
              <w:rPr>
                <w:b/>
                <w:bCs/>
                <w:sz w:val="19"/>
                <w:szCs w:val="19"/>
              </w:rPr>
              <w:t xml:space="preserve">dokumentoi ohjelmiston sovitulla tavalla</w:t>
            </w:r>
          </w:p>
        </w:tc>
        <w:tc>
          <w:tcPr>
            <w:tcW w:type="dxa" w:w="964"/>
            <w:tcMar>
              <w:top w:type="dxa" w:w="60"/>
              <w:left w:type="dxa" w:w="100"/>
              <w:bottom w:type="dxa" w:w="60"/>
              <w:right w:type="dxa" w:w="100"/>
            </w:tcMar>
          </w:tcPr>
          <w:p>
            <w:pPr>
              <w:spacing w:after="0"/>
            </w:pPr>
            <w:r>
              <w:rPr>
                <w:sz w:val="19"/>
                <w:szCs w:val="19"/>
              </w:rPr>
              <w:t xml:space="preserve">16</w:t>
            </w:r>
          </w:p>
        </w:tc>
        <w:tc>
          <w:tcPr>
            <w:tcW w:type="dxa" w:w="5975"/>
            <w:tcMar>
              <w:top w:type="dxa" w:w="60"/>
              <w:left w:type="dxa" w:w="100"/>
              <w:bottom w:type="dxa" w:w="60"/>
              <w:right w:type="dxa" w:w="100"/>
            </w:tcMar>
          </w:tcPr>
          <w:p>
            <w:pPr>
              <w:spacing w:after="0"/>
            </w:pPr>
            <w:r>
              <w:rPr>
                <w:sz w:val="19"/>
                <w:szCs w:val="19"/>
              </w:rPr>
              <w:t xml:space="preserve">README: käyttöönotto, käynnistys, riippuvuudet, ympäristöasetukset, tunnetut puutteet; ulkopuolisen julkaisutestillä todennettu ohje</w:t>
            </w:r>
          </w:p>
        </w:tc>
      </w:tr>
    </w:tbl>
    <w:p>
      <w:pPr>
        <w:spacing w:after="120" w:before="0"/>
      </w:pPr>
      <w:r>
        <w:rPr>
          <w:sz w:val="21"/>
          <w:szCs w:val="21"/>
        </w:rPr>
      </w:r>
    </w:p>
    <w:p>
      <w:r>
        <w:br w:type="page"/>
      </w:r>
    </w:p>
    <w:p>
      <w:pPr>
        <w:pStyle w:val="Heading1"/>
        <w:spacing w:before="320" w:after="160"/>
      </w:pPr>
      <w:r>
        <w:rPr>
          <w:b/>
          <w:bCs/>
          <w:color w:val="9a3412"/>
        </w:rPr>
        <w:t xml:space="preserve">5 · Dokumentaatio ja sen kohdeyleisö</w:t>
      </w:r>
    </w:p>
    <w:p>
      <w:pPr>
        <w:spacing w:after="120" w:before="0"/>
      </w:pPr>
      <w:r>
        <w:rPr>
          <w:b/>
          <w:bCs/>
          <w:sz w:val="21"/>
          <w:szCs w:val="21"/>
        </w:rPr>
        <w:t xml:space="preserve">Dokumentaatio tehdään käyttäjille, ei arviointia varten. Arviointiaineisto on erillinen.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fbeee5" w:val="clear"/>
            <w:tcMar>
              <w:top w:type="dxa" w:w="60"/>
              <w:left w:type="dxa" w:w="100"/>
              <w:bottom w:type="dxa" w:w="60"/>
              <w:right w:type="dxa" w:w="100"/>
            </w:tcMar>
          </w:tcPr>
          <w:p>
            <w:pPr>
              <w:spacing w:after="0"/>
            </w:pPr>
            <w:r>
              <w:rPr>
                <w:b/>
                <w:bCs/>
                <w:sz w:val="19"/>
                <w:szCs w:val="19"/>
              </w:rPr>
              <w:t xml:space="preserve">Käyttäjälle</w:t>
            </w:r>
          </w:p>
        </w:tc>
        <w:tc>
          <w:tcPr>
            <w:tcW w:type="dxa" w:w="6747"/>
            <w:shd w:fill="fbeee5" w:val="clear"/>
            <w:tcMar>
              <w:top w:type="dxa" w:w="60"/>
              <w:left w:type="dxa" w:w="100"/>
              <w:bottom w:type="dxa" w:w="60"/>
              <w:right w:type="dxa" w:w="100"/>
            </w:tcMar>
          </w:tcPr>
          <w:p>
            <w:pPr>
              <w:spacing w:after="0"/>
            </w:pPr>
            <w:r>
              <w:rPr>
                <w:b/>
                <w:bCs/>
                <w:sz w:val="19"/>
                <w:szCs w:val="19"/>
              </w:rPr>
              <w:t xml:space="preserve">Arviointiin</w:t>
            </w:r>
          </w:p>
        </w:tc>
      </w:tr>
      <w:tr>
        <w:tc>
          <w:tcPr>
            <w:tcW w:type="dxa" w:w="2891"/>
            <w:tcMar>
              <w:top w:type="dxa" w:w="60"/>
              <w:left w:type="dxa" w:w="100"/>
              <w:bottom w:type="dxa" w:w="60"/>
              <w:right w:type="dxa" w:w="100"/>
            </w:tcMar>
          </w:tcPr>
          <w:p>
            <w:pPr>
              <w:spacing w:after="0"/>
            </w:pPr>
            <w:r>
              <w:rPr>
                <w:sz w:val="19"/>
                <w:szCs w:val="19"/>
              </w:rPr>
              <w:t xml:space="preserve">README (käyttöönotto, käynnistys, riippuvuudet, ympäristömuuttujat, tunnetut puutteet) ja lyhyt asiakasohje kaupan käyttöön. Todennetaan viikon 16 julkaisutestillä: ulkopuolinen pääsee ohjeella rekisteröitymisestä testitilaukseen.</w:t>
            </w:r>
          </w:p>
        </w:tc>
        <w:tc>
          <w:tcPr>
            <w:tcW w:type="dxa" w:w="6747"/>
            <w:tcMar>
              <w:top w:type="dxa" w:w="60"/>
              <w:left w:type="dxa" w:w="100"/>
              <w:bottom w:type="dxa" w:w="60"/>
              <w:right w:type="dxa" w:w="100"/>
            </w:tcMar>
          </w:tcPr>
          <w:p>
            <w:pPr>
              <w:spacing w:after="0"/>
            </w:pPr>
            <w:r>
              <w:rPr>
                <w:sz w:val="19"/>
                <w:szCs w:val="19"/>
              </w:rPr>
              <w:t xml:space="preserve">Projektipäiväkirja, AI-loki, suunnitelma muutoshistorioineen, testimatriisin tulostaulukko, kolme virheenkorjausketjua, kaksi katselmointimuistiota, tietoturva-arvio, Lighthouse-raportit sekä issue- ja commit-historia.</w:t>
            </w:r>
          </w:p>
        </w:tc>
      </w:tr>
    </w:tbl>
    <w:p>
      <w:pPr>
        <w:spacing w:after="120" w:before="120"/>
      </w:pPr>
      <w:r>
        <w:rPr>
          <w:sz w:val="21"/>
          <w:szCs w:val="21"/>
        </w:rPr>
        <w:t xml:space="preserve">Dokumentaatio kirjoitetaan käyttäjälle, ei arviointia varten. Arviointiaineisto kootaan erikseen tiedostoon project-docs/nayttomatriisi.md: perustetaan viikolla 17 ja viimeistellään viikolla 18.</w:t>
      </w:r>
    </w:p>
    <w:p>
      <w:pPr>
        <w:pStyle w:val="Heading1"/>
        <w:spacing w:before="320" w:after="160"/>
      </w:pPr>
      <w:r>
        <w:rPr>
          <w:b/>
          <w:bCs/>
          <w:color w:val="9a3412"/>
        </w:rPr>
        <w:t xml:space="preserve">6 · Tekoälyn käyttö</w:t>
      </w:r>
    </w:p>
    <w:p>
      <w:pPr>
        <w:spacing w:after="120" w:before="0"/>
      </w:pPr>
      <w:r>
        <w:rPr>
          <w:sz w:val="21"/>
          <w:szCs w:val="21"/>
        </w:rPr>
        <w:t xml:space="preserve">Tekoäly on sallittu apuväline: se saa selittää virheilmoituksia, ehdottaa testitapauksia ja tarkistaa ratkaisuja. Merkittävä käyttö kirjataan AI-lokiin muodossa ymmärrä, tarkista, testaa, kirjaa.</w:t>
      </w:r>
    </w:p>
    <w:p>
      <w:pPr>
        <w:spacing w:after="120" w:before="0"/>
      </w:pPr>
      <w:r>
        <w:rPr>
          <w:sz w:val="21"/>
          <w:szCs w:val="21"/>
        </w:rPr>
        <w:t xml:space="preserve">Itse tehtävä ydin: komponenttirakenne, saavutettavuusratkaisut ja CSS. Tietoturvaratkaisut (salasanakäsittely, istunnot ja roolitarkistukset) pitää ymmärtää ja perustella itse. Viikon 3 tuotelistanäkymä rakennetaan kokonaan itse ilman valmista UI-komponenttikirjastoa.</w:t>
      </w:r>
    </w:p>
    <w:p>
      <w:pPr>
        <w:spacing w:after="120" w:before="0"/>
      </w:pPr>
      <w:r>
        <w:rPr>
          <w:sz w:val="21"/>
          <w:szCs w:val="21"/>
        </w:rPr>
        <w:t xml:space="preserve">Projekti on suunniteltu kestämään kielimallin käyttöä: jokaisella viikolla on oma konteksti (oma teema ja seed-data, oma tietomalli), oma artefakti (testiajot, kuvakaappaukset, commit-historia, julkaisuloki) tai nimetty ihminen (ohjaaja, katselmoija, julkaisutestaaja). Yhtään viikkoa ei voi kuitata kopioimalla tehtävänantoa kielimalliin.</w:t>
      </w:r>
    </w:p>
    <w:p>
      <w:pPr>
        <w:pStyle w:val="Heading1"/>
        <w:spacing w:before="320" w:after="160"/>
      </w:pPr>
      <w:r>
        <w:rPr>
          <w:b/>
          <w:bCs/>
          <w:color w:val="9a3412"/>
        </w:rPr>
        <w:t xml:space="preserve">7 · Palautuspaketti</w:t>
      </w:r>
    </w:p>
    <w:p>
      <w:pPr>
        <w:spacing w:after="20" w:before="0"/>
      </w:pPr>
      <w:r>
        <w:rPr>
          <w:b/>
          <w:bCs/>
          <w:sz w:val="21"/>
          <w:szCs w:val="21"/>
        </w:rPr>
        <w:t xml:space="preserve">Julkaistu tuotos</w:t>
      </w:r>
    </w:p>
    <w:p>
      <w:pPr>
        <w:spacing w:after="120" w:before="0"/>
      </w:pPr>
      <w:r>
        <w:rPr>
          <w:color w:val="555555"/>
          <w:sz w:val="20"/>
          <w:szCs w:val="20"/>
        </w:rPr>
        <w:t xml:space="preserve">Julkinen osoite, jossa v1.0 toimii, sekä git-tagit v1.0-rc1 ja v1.0.</w:t>
      </w:r>
    </w:p>
    <w:p>
      <w:pPr>
        <w:spacing w:after="20" w:before="0"/>
      </w:pPr>
      <w:r>
        <w:rPr>
          <w:b/>
          <w:bCs/>
          <w:sz w:val="21"/>
          <w:szCs w:val="21"/>
        </w:rPr>
        <w:t xml:space="preserve">Repository</w:t>
      </w:r>
    </w:p>
    <w:p>
      <w:pPr>
        <w:spacing w:after="120" w:before="0"/>
      </w:pPr>
      <w:r>
        <w:rPr>
          <w:color w:val="555555"/>
          <w:sz w:val="20"/>
          <w:szCs w:val="20"/>
        </w:rPr>
        <w:t xml:space="preserve">Lähdekoodi, README, asiakasohje, CREDITS ja mahdollinen LICENSE; ei salaisuuksia historiassa.</w:t>
      </w:r>
    </w:p>
    <w:p>
      <w:pPr>
        <w:spacing w:after="20" w:before="0"/>
      </w:pPr>
      <w:r>
        <w:rPr>
          <w:b/>
          <w:bCs/>
          <w:sz w:val="21"/>
          <w:szCs w:val="21"/>
        </w:rPr>
        <w:t xml:space="preserve">project-docs</w:t>
      </w:r>
    </w:p>
    <w:p>
      <w:pPr>
        <w:spacing w:after="120" w:before="0"/>
      </w:pPr>
      <w:r>
        <w:rPr>
          <w:color w:val="555555"/>
          <w:sz w:val="20"/>
          <w:szCs w:val="20"/>
        </w:rPr>
        <w:t xml:space="preserve">Suunnitelma, projektipäiväkirja, AI-loki, testimatriisin tulokset, katselmointimuistiot, tietoturva-arvio, Lighthouse-raportit ja luovutusviesti.</w:t>
      </w:r>
    </w:p>
    <w:p>
      <w:pPr>
        <w:spacing w:after="20" w:before="0"/>
      </w:pPr>
      <w:r>
        <w:rPr>
          <w:b/>
          <w:bCs/>
          <w:sz w:val="21"/>
          <w:szCs w:val="21"/>
        </w:rPr>
        <w:t xml:space="preserve">Näyttömatriisi</w:t>
      </w:r>
    </w:p>
    <w:p>
      <w:pPr>
        <w:spacing w:after="120" w:before="0"/>
      </w:pPr>
      <w:r>
        <w:rPr>
          <w:color w:val="555555"/>
          <w:sz w:val="20"/>
          <w:szCs w:val="20"/>
        </w:rPr>
        <w:t xml:space="preserve">project-docs/nayttomatriisi.md: 32 vaatimusta, joilla jokaisella on viikko ja toimiva linkki työnäytteeseen.</w:t>
      </w:r>
    </w:p>
    <w:p>
      <w:pPr>
        <w:spacing w:after="20" w:before="0"/>
      </w:pPr>
      <w:r>
        <w:rPr>
          <w:b/>
          <w:bCs/>
          <w:sz w:val="21"/>
          <w:szCs w:val="21"/>
        </w:rPr>
        <w:t xml:space="preserve">Demo</w:t>
      </w:r>
    </w:p>
    <w:p>
      <w:pPr>
        <w:spacing w:after="120" w:before="0"/>
      </w:pPr>
      <w:r>
        <w:rPr>
          <w:color w:val="555555"/>
          <w:sz w:val="20"/>
          <w:szCs w:val="20"/>
        </w:rPr>
        <w:t xml:space="preserve">8–10 minuutin esitys: tilauspolku tuotannossa, yksi tekninen ratkaisu, yksi korjattu bugi ketjuna, Git-historia ja AI-lokin tarkistettu käyttö.</w:t>
      </w:r>
    </w:p>
    <w:p>
      <w:pPr>
        <w:spacing w:after="120" w:before="100"/>
      </w:pPr>
      <w:r>
        <w:rPr>
          <w:b/>
          <w:bCs/>
          <w:sz w:val="21"/>
          <w:szCs w:val="21"/>
        </w:rPr>
        <w:t xml:space="preserve">Luovutus viimeistään 18. työviikon perjantai.</w:t>
      </w:r>
    </w:p>
    <w:p>
      <w:pPr>
        <w:pStyle w:val="Heading1"/>
        <w:spacing w:before="320" w:after="160"/>
      </w:pPr>
      <w:r>
        <w:rPr>
          <w:b/>
          <w:bCs/>
          <w:color w:val="9a3412"/>
        </w:rPr>
        <w:t xml:space="preserve">8 · Huomioita opettajalle</w:t>
      </w:r>
    </w:p>
    <w:p>
      <w:pPr>
        <w:spacing w:after="20" w:before="0"/>
      </w:pPr>
      <w:r>
        <w:rPr>
          <w:b/>
          <w:bCs/>
          <w:sz w:val="21"/>
          <w:szCs w:val="21"/>
        </w:rPr>
        <w:t xml:space="preserve">Päivätön aikataulu</w:t>
      </w:r>
    </w:p>
    <w:p>
      <w:pPr>
        <w:spacing w:after="140" w:before="0"/>
      </w:pPr>
      <w:r>
        <w:rPr>
          <w:color w:val="555555"/>
          <w:sz w:val="20"/>
          <w:szCs w:val="20"/>
        </w:rPr>
        <w:t xml:space="preserve">Viikot 1–18 ovat työviikkoja opiskelijan omasta aloituksesta. Sivustolla ja paperiaineistossa ei ole kalenteripäivämääriä, joten sama aineisto kelpaa eri aloitusajankohtiin.</w:t>
      </w:r>
    </w:p>
    <w:p>
      <w:pPr>
        <w:spacing w:after="20" w:before="0"/>
      </w:pPr>
      <w:r>
        <w:rPr>
          <w:b/>
          <w:bCs/>
          <w:sz w:val="21"/>
          <w:szCs w:val="21"/>
        </w:rPr>
        <w:t xml:space="preserve">Katselmoijat ovat viikon 1 järjestelykysymys</w:t>
      </w:r>
    </w:p>
    <w:p>
      <w:pPr>
        <w:spacing w:after="140" w:before="0"/>
      </w:pPr>
      <w:r>
        <w:rPr>
          <w:color w:val="555555"/>
          <w:sz w:val="20"/>
          <w:szCs w:val="20"/>
        </w:rPr>
        <w:t xml:space="preserve">Etsintä käynnistetään heti viikolla 1 ja nimeäminen tehdään viimeistään ennen viikkoa 10. Kunnes asiakkaan edustaja on nimetty, ohjaaja toimii asiakkaan sijaisena ja vastaanottaa kysymyslistat ja tilannekatsaukset. Repositoryyn kirjataan henkilöistä vain rooli. Viikon 10 ja 16 katselmoija ei saa olla oma ohjaaja.</w:t>
      </w:r>
    </w:p>
    <w:p>
      <w:pPr>
        <w:spacing w:after="20" w:before="0"/>
      </w:pPr>
      <w:r>
        <w:rPr>
          <w:b/>
          <w:bCs/>
          <w:sz w:val="21"/>
          <w:szCs w:val="21"/>
        </w:rPr>
        <w:t xml:space="preserve">Maksunvälitys on rajattu pois asiakkaan suulla</w:t>
      </w:r>
    </w:p>
    <w:p>
      <w:pPr>
        <w:spacing w:after="140" w:before="0"/>
      </w:pPr>
      <w:r>
        <w:rPr>
          <w:color w:val="555555"/>
          <w:sz w:val="20"/>
          <w:szCs w:val="20"/>
        </w:rPr>
        <w:t xml:space="preserve">Rajaus on toimeksiannossa asiakkaan omana päätöksenä. Sitä ei toteuteta osittainkaan, ja rajauksen selittäminen asiakkaalle on osa s2:n työnäytettä.</w:t>
      </w:r>
    </w:p>
    <w:p>
      <w:pPr>
        <w:spacing w:after="20" w:before="0"/>
      </w:pPr>
      <w:r>
        <w:rPr>
          <w:b/>
          <w:bCs/>
          <w:sz w:val="21"/>
          <w:szCs w:val="21"/>
        </w:rPr>
        <w:t xml:space="preserve">Testiluokkien jakauma on tietoinen poikkeama</w:t>
      </w:r>
    </w:p>
    <w:p>
      <w:pPr>
        <w:spacing w:after="140" w:before="0"/>
      </w:pPr>
      <w:r>
        <w:rPr>
          <w:color w:val="555555"/>
          <w:sz w:val="20"/>
          <w:szCs w:val="20"/>
        </w:rPr>
        <w:t xml:space="preserve">14 testitapausta jakautuvat 6 normaalia, 4 rajaa ja 4 virhetilannetta. Virhetilanneluokka täydentyy viikon 14 hyökkäystesteillä (injektio, XSS, IDOR, auktorisointi), jotka kirjataan samalla tarkkuudella matriisin jatkoksi.</w:t>
      </w:r>
    </w:p>
    <w:p>
      <w:pPr>
        <w:spacing w:after="20" w:before="0"/>
      </w:pPr>
      <w:r>
        <w:rPr>
          <w:b/>
          <w:bCs/>
          <w:sz w:val="21"/>
          <w:szCs w:val="21"/>
        </w:rPr>
        <w:t xml:space="preserve">Viikon 13 jälkeen ei uusia ominaisuuksia</w:t>
      </w:r>
    </w:p>
    <w:p>
      <w:pPr>
        <w:spacing w:after="140" w:before="0"/>
      </w:pPr>
      <w:r>
        <w:rPr>
          <w:color w:val="555555"/>
          <w:sz w:val="20"/>
          <w:szCs w:val="20"/>
        </w:rPr>
        <w:t xml:space="preserve">Ominaisuuslistan päättyminen sanotaan opiskelijalle ääneen viikon 13 kortissa. Jos uusia ominaisuuksia ilmaantuu viikoilla 14–17, rajaus on pettänyt ja se on syytä ottaa puheeksi.</w:t>
      </w:r>
    </w:p>
    <w:p>
      <w:pPr>
        <w:spacing w:after="20" w:before="0"/>
      </w:pPr>
      <w:r>
        <w:rPr>
          <w:b/>
          <w:bCs/>
          <w:sz w:val="21"/>
          <w:szCs w:val="21"/>
        </w:rPr>
        <w:t xml:space="preserve">Avoimet asiat ovat ohjaajan pöydällä</w:t>
      </w:r>
    </w:p>
    <w:p>
      <w:pPr>
        <w:spacing w:after="140" w:before="0"/>
      </w:pPr>
      <w:r>
        <w:rPr>
          <w:color w:val="555555"/>
          <w:sz w:val="20"/>
          <w:szCs w:val="20"/>
        </w:rPr>
        <w:t xml:space="preserve">Lisenssi, repositoryn julkisuus ja tekijänimi (alaikäisellä huoltajan suostumus), oppilaitoksen linja julkaisualustasta, katselmoijien nimeäminen ja perusteversion siirtymäsääntö (OPH-6216-2025). Tyhjä kenttä suunnitelmassa on oikea tulos, kunnes asia on sovittu.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2026-10-01T06:04:49.287Z</dcterms:created>
  <dcterms:modified xsi:type="dcterms:W3CDTF">2026-10-01T06:04:49.287Z</dcterms:modified>
</cp:coreProperties>
</file>

<file path=docProps/custom.xml><?xml version="1.0" encoding="utf-8"?>
<Properties xmlns="http://schemas.openxmlformats.org/officeDocument/2006/custom-properties" xmlns:vt="http://schemas.openxmlformats.org/officeDocument/2006/docPropsVTypes"/>
</file>