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pPr>
      <w:r>
        <w:rPr>
          <w:b/>
          <w:bCs/>
          <w:color w:val="9a3412"/>
          <w:sz w:val="52"/>
          <w:szCs w:val="52"/>
        </w:rPr>
        <w:t xml:space="preserve">Näyttösuunnitelma · NoppaKauppa</w:t>
      </w:r>
    </w:p>
    <w:p>
      <w:pPr>
        <w:spacing w:after="60" w:before="0"/>
      </w:pPr>
      <w:r>
        <w:rPr>
          <w:sz w:val="23"/>
          <w:szCs w:val="23"/>
        </w:rPr>
        <w:t xml:space="preserve">NoppaKauppa · Lautapelien verkkokauppa: Vue 3, Pinia, FastAPI, SQLite ja julkaisu tuotantoon · 18 työviikkoa · päivätön aikataulu, viikot 1–18, luovutus 18. työviikon perjantai</w:t>
      </w:r>
    </w:p>
    <w:p>
      <w:pPr>
        <w:spacing w:after="300" w:before="0"/>
      </w:pPr>
      <w:r>
        <w:rPr>
          <w:color w:val="555555"/>
          <w:sz w:val="20"/>
          <w:szCs w:val="20"/>
        </w:rPr>
        <w:t xml:space="preserve">Opettajan lähdeaineisto. Vaatimukset on luettu sivuston näyttömatriisista, joten tämä asiakirja pysyy sivuston kanssa yhdenmukaisena. Aikataulu on päivätön: viikot ovat työviikkoja 1–18 opiskelijan omasta aloituksesta.</w:t>
      </w:r>
    </w:p>
    <w:p>
      <w:pPr>
        <w:pStyle w:val="Heading1"/>
        <w:spacing w:before="320" w:after="160"/>
      </w:pPr>
      <w:r>
        <w:rPr>
          <w:b/>
          <w:bCs/>
          <w:color w:val="9a3412"/>
        </w:rPr>
        <w:t xml:space="preserve">1 · Näytön kohde ja ympäristö</w:t>
      </w:r>
    </w:p>
    <w:p>
      <w:pPr>
        <w:spacing w:after="120" w:before="0"/>
      </w:pPr>
      <w:r>
        <w:rPr>
          <w:sz w:val="21"/>
          <w:szCs w:val="21"/>
        </w:rPr>
        <w:t xml:space="preserve">Näyttö annetaan Tieto- ja viestintätekniikan perustutkinnon (diaarinumero OPH-6216-2025, perusteId 9816282) kolmesta tutkinnon osasta: Ohjelmointi (45 osp, 11 vaatimusta), Ohjelmistokehittäjänä toimiminen (45 osp, 14 vaatimusta) ja Ohjelmiston toteuttaminen ohjelmistokomponenttikirjastolla (30 osp, 7 vaatimusta). Vaatimuksia on yhteensä 32.</w:t>
      </w:r>
    </w:p>
    <w:p>
      <w:pPr>
        <w:spacing w:after="120" w:before="0"/>
      </w:pPr>
      <w:r>
        <w:rPr>
          <w:sz w:val="21"/>
          <w:szCs w:val="21"/>
        </w:rPr>
        <w:t xml:space="preserve">Näytön kohteena on yksi ohjattu web-projekti: lautapeliliike Nopan Nurkan ensimmäinen verkkokauppa. Opiskelija toteuttaa sen Vue 3 + Vite + Pinia -frontilla ja FastAPI + SQLite -backendilla, julkaisee sen tuotantoon jo viikolla 5 ja luovuttaa version 1.0 asiakkaalle viikolla 17. Opiskelija saa vaihtaa tuotealan omaksi teemakseen viikolla 2; vaatimukset eivät muutu.</w:t>
      </w:r>
    </w:p>
    <w:p>
      <w:pPr>
        <w:spacing w:after="120" w:before="0"/>
      </w:pPr>
      <w:r>
        <w:rPr>
          <w:sz w:val="21"/>
          <w:szCs w:val="21"/>
        </w:rPr>
        <w:t xml:space="preserve">Ympäristö: opiskelijan oma kehityskone, julkinen Git-repository ja opiskelijan viikolla 5 vertailema julkaisualusta. Oppilaitoksen linjaus julkaisualustasta on ohjaajan päätettävä avoin asia.</w:t>
      </w:r>
    </w:p>
    <w:p>
      <w:pPr>
        <w:spacing w:after="120" w:before="0"/>
      </w:pPr>
      <w:r>
        <w:rPr>
          <w:sz w:val="21"/>
          <w:szCs w:val="21"/>
        </w:rPr>
        <w:t xml:space="preserve">Näyttöaineisto syntyy työn aikana: commit-historia, issuet, pull request, testimatriisi tuloksineen, kolme virheenkorjausketjua, kaksi katselmointimuistiota, tietoturva-arvio, Lighthouse-raportit sekä projektipäiväkirja ja AI-loki.</w:t>
      </w:r>
    </w:p>
    <w:p>
      <w:pPr>
        <w:spacing w:after="120" w:before="0"/>
      </w:pPr>
      <w:r>
        <w:rPr>
          <w:b/>
          <w:bCs/>
          <w:sz w:val="21"/>
          <w:szCs w:val="21"/>
        </w:rPr>
        <w:t xml:space="preserve">Pakollinen perusversio (P0): tuotteet kategorioittain, sanahaku, ostoskori, rekisteröityminen ja kirjautuminen, tilaus, tilaushistoria, omien tietojen muokkaus, tuotehallinta ja tilausten selaus. Maksunvälitys on rajattu pois asiakkaan päätöksellä. Sitä ei toteuteta osittainkaan.</w:t>
      </w:r>
    </w:p>
    <w:p>
      <w:pPr>
        <w:pStyle w:val="Heading1"/>
        <w:spacing w:before="320" w:after="160"/>
      </w:pPr>
      <w:r>
        <w:rPr>
          <w:b/>
          <w:bCs/>
          <w:color w:val="9a3412"/>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df5ef"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kaupan, tekee omat päätöksensä perusteluineen, ajaa testit ja kirjaa työnäytteet. Sopii katselmointien käytännöt itse, kun katselmoijat on nimetty.</w:t>
            </w:r>
          </w:p>
        </w:tc>
      </w:tr>
      <w:tr>
        <w:tc>
          <w:tcPr>
            <w:tcW w:type="dxa" w:w="2602"/>
            <w:shd w:fill="fdf5ef"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Vastaa kysymyslistaan viikolla 1 ja toimii asiakkaan sijaisena, kunnes asiakkaan edustaja on nimetty: vastaanottaa kysymyslistat ja tilannekatsaukset ja hyväksyy rautalangat viikolla 2. Lisäksi ohjaaja priorisoi palautteen viikolla 10, käy tietoturva-arvion läpi viikolla 14 ja tarkistaa laadun tarkistuspisteissä.</w:t>
            </w:r>
          </w:p>
        </w:tc>
      </w:tr>
      <w:tr>
        <w:tc>
          <w:tcPr>
            <w:tcW w:type="dxa" w:w="2602"/>
            <w:shd w:fill="fdf5ef" w:val="clear"/>
            <w:tcMar>
              <w:top w:type="dxa" w:w="60"/>
              <w:left w:type="dxa" w:w="100"/>
              <w:bottom w:type="dxa" w:w="60"/>
              <w:right w:type="dxa" w:w="100"/>
            </w:tcMar>
          </w:tcPr>
          <w:p>
            <w:pPr>
              <w:spacing w:after="0"/>
            </w:pPr>
            <w:r>
              <w:rPr>
                <w:b/>
                <w:bCs/>
                <w:sz w:val="19"/>
                <w:szCs w:val="19"/>
              </w:rPr>
              <w:t xml:space="preserve">Asiakkaan edustaja (viikko 10)</w:t>
            </w:r>
          </w:p>
        </w:tc>
        <w:tc>
          <w:tcPr>
            <w:tcW w:type="dxa" w:w="7036"/>
            <w:tcMar>
              <w:top w:type="dxa" w:w="60"/>
              <w:left w:type="dxa" w:w="100"/>
              <w:bottom w:type="dxa" w:w="60"/>
              <w:right w:type="dxa" w:w="100"/>
            </w:tcMar>
          </w:tcPr>
          <w:p>
            <w:pPr>
              <w:spacing w:after="0"/>
            </w:pPr>
            <w:r>
              <w:rPr>
                <w:sz w:val="19"/>
                <w:szCs w:val="19"/>
              </w:rPr>
              <w:t xml:space="preserve">Nimetty ulkopuolinen henkilö (toinen opiskelija, työpaikkaohjaaja tai muu sovittu), ei oma ohjaaja. Esittää katselmoinnissa asiakasta, kokeilee julkaistua kauppaa tehtäväradalla ja antaa palautteen omin sanoin. Repositoryyn kirjataan vain rooli.</w:t>
            </w:r>
          </w:p>
        </w:tc>
      </w:tr>
      <w:tr>
        <w:tc>
          <w:tcPr>
            <w:tcW w:type="dxa" w:w="2602"/>
            <w:shd w:fill="fdf5ef" w:val="clear"/>
            <w:tcMar>
              <w:top w:type="dxa" w:w="60"/>
              <w:left w:type="dxa" w:w="100"/>
              <w:bottom w:type="dxa" w:w="60"/>
              <w:right w:type="dxa" w:w="100"/>
            </w:tcMar>
          </w:tcPr>
          <w:p>
            <w:pPr>
              <w:spacing w:after="0"/>
            </w:pPr>
            <w:r>
              <w:rPr>
                <w:b/>
                <w:bCs/>
                <w:sz w:val="19"/>
                <w:szCs w:val="19"/>
              </w:rPr>
              <w:t xml:space="preserve">Julkaisutestaaja (viikko 16)</w:t>
            </w:r>
          </w:p>
        </w:tc>
        <w:tc>
          <w:tcPr>
            <w:tcW w:type="dxa" w:w="7036"/>
            <w:tcMar>
              <w:top w:type="dxa" w:w="60"/>
              <w:left w:type="dxa" w:w="100"/>
              <w:bottom w:type="dxa" w:w="60"/>
              <w:right w:type="dxa" w:w="100"/>
            </w:tcMar>
          </w:tcPr>
          <w:p>
            <w:pPr>
              <w:spacing w:after="0"/>
            </w:pPr>
            <w:r>
              <w:rPr>
                <w:sz w:val="19"/>
                <w:szCs w:val="19"/>
              </w:rPr>
              <w:t xml:space="preserve">Nimetty ulkopuolinen, mieluiten eri henkilö kuin viikolla 10. Ottaa kaupan käyttöön puhtaassa ympäristössä pelkän kirjoitetun ohjeen avulla ilman suullista apua.</w:t>
            </w:r>
          </w:p>
        </w:tc>
      </w:tr>
      <w:tr>
        <w:tc>
          <w:tcPr>
            <w:tcW w:type="dxa" w:w="2602"/>
            <w:shd w:fill="fdf5ef" w:val="clear"/>
            <w:tcMar>
              <w:top w:type="dxa" w:w="60"/>
              <w:left w:type="dxa" w:w="100"/>
              <w:bottom w:type="dxa" w:w="60"/>
              <w:right w:type="dxa" w:w="100"/>
            </w:tcMar>
          </w:tcPr>
          <w:p>
            <w:pPr>
              <w:spacing w:after="0"/>
            </w:pPr>
            <w:r>
              <w:rPr>
                <w:b/>
                <w:bCs/>
                <w:sz w:val="19"/>
                <w:szCs w:val="19"/>
              </w:rPr>
              <w:t xml:space="preserve">Arvioija</w:t>
            </w:r>
          </w:p>
        </w:tc>
        <w:tc>
          <w:tcPr>
            <w:tcW w:type="dxa" w:w="7036"/>
            <w:tcMar>
              <w:top w:type="dxa" w:w="60"/>
              <w:left w:type="dxa" w:w="100"/>
              <w:bottom w:type="dxa" w:w="60"/>
              <w:right w:type="dxa" w:w="100"/>
            </w:tcMar>
          </w:tcPr>
          <w:p>
            <w:pPr>
              <w:spacing w:after="0"/>
            </w:pPr>
            <w:r>
              <w:rPr>
                <w:sz w:val="19"/>
                <w:szCs w:val="19"/>
              </w:rPr>
              <w:t xml:space="preserve">Arvioi näytön 32 vaatimusta työnäytteiden ja demon perusteella; käyttää opiskelijan tiedostoa project-docs/nayttomatriisi.md hakemistona.</w:t>
            </w:r>
          </w:p>
        </w:tc>
      </w:tr>
    </w:tbl>
    <w:p>
      <w:pPr>
        <w:pStyle w:val="Heading1"/>
        <w:spacing w:before="320" w:after="160"/>
      </w:pPr>
      <w:r>
        <w:rPr>
          <w:b/>
          <w:bCs/>
          <w:color w:val="9a3412"/>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fbeee5" w:val="clear"/>
            <w:tcMar>
              <w:top w:type="dxa" w:w="60"/>
              <w:left w:type="dxa" w:w="100"/>
              <w:bottom w:type="dxa" w:w="60"/>
              <w:right w:type="dxa" w:w="100"/>
            </w:tcMar>
          </w:tcPr>
          <w:p>
            <w:pPr>
              <w:spacing w:after="0"/>
            </w:pPr>
            <w:r>
              <w:rPr>
                <w:b/>
                <w:bCs/>
                <w:sz w:val="19"/>
                <w:szCs w:val="19"/>
              </w:rPr>
              <w:t xml:space="preserve">Viikko</w:t>
            </w:r>
          </w:p>
        </w:tc>
        <w:tc>
          <w:tcPr>
            <w:tcW w:type="dxa" w:w="3181"/>
            <w:shd w:fill="fbeee5" w:val="clear"/>
            <w:tcMar>
              <w:top w:type="dxa" w:w="60"/>
              <w:left w:type="dxa" w:w="100"/>
              <w:bottom w:type="dxa" w:w="60"/>
              <w:right w:type="dxa" w:w="100"/>
            </w:tcMar>
          </w:tcPr>
          <w:p>
            <w:pPr>
              <w:spacing w:after="0"/>
            </w:pPr>
            <w:r>
              <w:rPr>
                <w:b/>
                <w:bCs/>
                <w:sz w:val="19"/>
                <w:szCs w:val="19"/>
              </w:rPr>
              <w:t xml:space="preserve">Tarkistuspiste</w:t>
            </w:r>
          </w:p>
        </w:tc>
        <w:tc>
          <w:tcPr>
            <w:tcW w:type="dxa" w:w="5011"/>
            <w:shd w:fill="fbeee5"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1</w:t>
            </w:r>
          </w:p>
        </w:tc>
        <w:tc>
          <w:tcPr>
            <w:tcW w:type="dxa" w:w="3181"/>
            <w:tcMar>
              <w:top w:type="dxa" w:w="60"/>
              <w:left w:type="dxa" w:w="100"/>
              <w:bottom w:type="dxa" w:w="60"/>
              <w:right w:type="dxa" w:w="100"/>
            </w:tcMar>
          </w:tcPr>
          <w:p>
            <w:pPr>
              <w:spacing w:after="0"/>
            </w:pPr>
            <w:r>
              <w:rPr>
                <w:sz w:val="19"/>
                <w:szCs w:val="19"/>
              </w:rPr>
              <w:t xml:space="preserve">Toimeksianto ja ympäristö</w:t>
            </w:r>
          </w:p>
        </w:tc>
        <w:tc>
          <w:tcPr>
            <w:tcW w:type="dxa" w:w="5011"/>
            <w:tcMar>
              <w:top w:type="dxa" w:w="60"/>
              <w:left w:type="dxa" w:w="100"/>
              <w:bottom w:type="dxa" w:w="60"/>
              <w:right w:type="dxa" w:w="100"/>
            </w:tcMar>
          </w:tcPr>
          <w:p>
            <w:pPr>
              <w:spacing w:after="0"/>
            </w:pPr>
            <w:r>
              <w:rPr>
                <w:sz w:val="19"/>
                <w:szCs w:val="19"/>
              </w:rPr>
              <w:t xml:space="preserve">Kysymyslista on tehty ja vastattu; repo on olemassa; molemmat kehityspalvelimet käynnistyvät. Katselmoijien etsintä on käynnistetty.</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 ja rajaus</w:t>
            </w:r>
          </w:p>
        </w:tc>
        <w:tc>
          <w:tcPr>
            <w:tcW w:type="dxa" w:w="5011"/>
            <w:tcMar>
              <w:top w:type="dxa" w:w="60"/>
              <w:left w:type="dxa" w:w="100"/>
              <w:bottom w:type="dxa" w:w="60"/>
              <w:right w:type="dxa" w:w="100"/>
            </w:tcMar>
          </w:tcPr>
          <w:p>
            <w:pPr>
              <w:spacing w:after="0"/>
            </w:pPr>
            <w:r>
              <w:rPr>
                <w:sz w:val="19"/>
                <w:szCs w:val="19"/>
              </w:rPr>
              <w:t xml:space="preserve">Käyttäjätarinat prioriteetteineen, tietomalli, tietovarastovertailu, teemapäätös ja vähintään kahdeksan issueta. Rautalankojen hyväksyntä kirjattu.</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Ensijulkaisu</w:t>
            </w:r>
          </w:p>
        </w:tc>
        <w:tc>
          <w:tcPr>
            <w:tcW w:type="dxa" w:w="5011"/>
            <w:tcMar>
              <w:top w:type="dxa" w:w="60"/>
              <w:left w:type="dxa" w:w="100"/>
              <w:bottom w:type="dxa" w:w="60"/>
              <w:right w:type="dxa" w:w="100"/>
            </w:tcMar>
          </w:tcPr>
          <w:p>
            <w:pPr>
              <w:spacing w:after="0"/>
            </w:pPr>
            <w:r>
              <w:rPr>
                <w:sz w:val="19"/>
                <w:szCs w:val="19"/>
              </w:rPr>
              <w:t xml:space="preserve">Julkinen osoite toimii toisella laitteella; alustavertailu on kirjattu; salaisuudet eivät ole repossa.</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Ostopolku valmis</w:t>
            </w:r>
          </w:p>
        </w:tc>
        <w:tc>
          <w:tcPr>
            <w:tcW w:type="dxa" w:w="5011"/>
            <w:tcMar>
              <w:top w:type="dxa" w:w="60"/>
              <w:left w:type="dxa" w:w="100"/>
              <w:bottom w:type="dxa" w:w="60"/>
              <w:right w:type="dxa" w:w="100"/>
            </w:tcMar>
          </w:tcPr>
          <w:p>
            <w:pPr>
              <w:spacing w:after="0"/>
            </w:pPr>
            <w:r>
              <w:rPr>
                <w:sz w:val="19"/>
                <w:szCs w:val="19"/>
              </w:rPr>
              <w:t xml:space="preserve">Tilaus tallentuu transaktiona tilaushetken hinnoilla; historia näyttää vain omat tilaukset; k4-lisäpaketin perustelu on kirjattu.</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Nimetty ulkopuolinen on testannut; sitaatit ja oma tulkinta ovat muistiossa erillään; palaute on issueina ja priorisoitu.</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Ominaisuuslista päättyy</w:t>
            </w:r>
          </w:p>
        </w:tc>
        <w:tc>
          <w:tcPr>
            <w:tcW w:type="dxa" w:w="5011"/>
            <w:tcMar>
              <w:top w:type="dxa" w:w="60"/>
              <w:left w:type="dxa" w:w="100"/>
              <w:bottom w:type="dxa" w:w="60"/>
              <w:right w:type="dxa" w:w="100"/>
            </w:tcMar>
          </w:tcPr>
          <w:p>
            <w:pPr>
              <w:spacing w:after="0"/>
            </w:pPr>
            <w:r>
              <w:rPr>
                <w:sz w:val="19"/>
                <w:szCs w:val="19"/>
              </w:rPr>
              <w:t xml:space="preserve">Henkilökunnan tilausnäkymä toimii ja saavutettavuustarkistus on tehty Lighthouse-raportein. Tästä eteenpäin ei lisätä uusia ominaisuuksia.</w:t>
            </w:r>
          </w:p>
        </w:tc>
      </w:tr>
      <w:tr>
        <w:tc>
          <w:tcPr>
            <w:tcW w:type="dxa" w:w="1446"/>
            <w:tcMar>
              <w:top w:type="dxa" w:w="60"/>
              <w:left w:type="dxa" w:w="100"/>
              <w:bottom w:type="dxa" w:w="60"/>
              <w:right w:type="dxa" w:w="100"/>
            </w:tcMar>
          </w:tcPr>
          <w:p>
            <w:pPr>
              <w:spacing w:after="0"/>
            </w:pPr>
            <w:r>
              <w:rPr>
                <w:sz w:val="19"/>
                <w:szCs w:val="19"/>
              </w:rPr>
              <w:t xml:space="preserve">14</w:t>
            </w:r>
          </w:p>
        </w:tc>
        <w:tc>
          <w:tcPr>
            <w:tcW w:type="dxa" w:w="3181"/>
            <w:tcMar>
              <w:top w:type="dxa" w:w="60"/>
              <w:left w:type="dxa" w:w="100"/>
              <w:bottom w:type="dxa" w:w="60"/>
              <w:right w:type="dxa" w:w="100"/>
            </w:tcMar>
          </w:tcPr>
          <w:p>
            <w:pPr>
              <w:spacing w:after="0"/>
            </w:pPr>
            <w:r>
              <w:rPr>
                <w:sz w:val="19"/>
                <w:szCs w:val="19"/>
              </w:rPr>
              <w:t xml:space="preserve">Tietoturva-arvio</w:t>
            </w:r>
          </w:p>
        </w:tc>
        <w:tc>
          <w:tcPr>
            <w:tcW w:type="dxa" w:w="5011"/>
            <w:tcMar>
              <w:top w:type="dxa" w:w="60"/>
              <w:left w:type="dxa" w:w="100"/>
              <w:bottom w:type="dxa" w:w="60"/>
              <w:right w:type="dxa" w:w="100"/>
            </w:tcMar>
          </w:tcPr>
          <w:p>
            <w:pPr>
              <w:spacing w:after="0"/>
            </w:pPr>
            <w:r>
              <w:rPr>
                <w:sz w:val="19"/>
                <w:szCs w:val="19"/>
              </w:rPr>
              <w:t xml:space="preserve">Arvio läpikäydään ohjaajan kanssa: jokaisella riskillä on ratkaisu tai perusteltu jäännösriski; K3-ketju on kokonainen.</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Tagi v1.0-rc1 on merkitty, repo on siivottu ja ulkopuolinen on tehnyt testitilauksen pelkän ohjeen avulla puhtaassa ympäristössä.</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project-docs/nayttomatriisi.md:n jokaisella rivillä on toimiva linkki; demo on harjoiteltu kellon kanssa; itsearviointi on kirjoitettu.</w:t>
            </w:r>
          </w:p>
        </w:tc>
      </w:tr>
    </w:tbl>
    <w:p>
      <w:r>
        <w:br w:type="page"/>
      </w:r>
    </w:p>
    <w:p>
      <w:pPr>
        <w:pStyle w:val="Heading1"/>
        <w:spacing w:before="320" w:after="160"/>
      </w:pPr>
      <w:r>
        <w:rPr>
          <w:b/>
          <w:bCs/>
          <w:color w:val="9a3412"/>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before="260" w:after="120"/>
      </w:pPr>
      <w:r>
        <w:rPr>
          <w:b/>
          <w:bCs/>
          <w:color w:val="9a3412"/>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beee5" w:val="clear"/>
            <w:tcMar>
              <w:top w:type="dxa" w:w="60"/>
              <w:left w:type="dxa" w:w="100"/>
              <w:bottom w:type="dxa" w:w="60"/>
              <w:right w:type="dxa" w:w="100"/>
            </w:tcMar>
          </w:tcPr>
          <w:p>
            <w:pPr>
              <w:spacing w:after="0"/>
            </w:pPr>
            <w:r>
              <w:rPr>
                <w:b/>
                <w:bCs/>
                <w:sz w:val="19"/>
                <w:szCs w:val="19"/>
              </w:rPr>
              <w:t xml:space="preserve">Arvioinnin kohde</w:t>
            </w:r>
          </w:p>
        </w:tc>
        <w:tc>
          <w:tcPr>
            <w:tcW w:type="dxa" w:w="964"/>
            <w:shd w:fill="fbeee5" w:val="clear"/>
            <w:tcMar>
              <w:top w:type="dxa" w:w="60"/>
              <w:left w:type="dxa" w:w="100"/>
              <w:bottom w:type="dxa" w:w="60"/>
              <w:right w:type="dxa" w:w="100"/>
            </w:tcMar>
          </w:tcPr>
          <w:p>
            <w:pPr>
              <w:spacing w:after="0"/>
            </w:pPr>
            <w:r>
              <w:rPr>
                <w:b/>
                <w:bCs/>
                <w:sz w:val="19"/>
                <w:szCs w:val="19"/>
              </w:rPr>
              <w:t xml:space="preserve">Vko</w:t>
            </w:r>
          </w:p>
        </w:tc>
        <w:tc>
          <w:tcPr>
            <w:tcW w:type="dxa" w:w="5975"/>
            <w:shd w:fill="fbeee5"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Kehitysympäristö pystyssä: VS Code, Vite- ja FastAPI-kehityspalvelimet, selaimen kehittäjätyökalut; käynnistyskomennot READMEssä ja päiväkirjassa</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7, 11, 14</w:t>
            </w:r>
          </w:p>
        </w:tc>
        <w:tc>
          <w:tcPr>
            <w:tcW w:type="dxa" w:w="5975"/>
            <w:tcMar>
              <w:top w:type="dxa" w:w="60"/>
              <w:left w:type="dxa" w:w="100"/>
              <w:bottom w:type="dxa" w:w="60"/>
              <w:right w:type="dxa" w:w="100"/>
            </w:tcMar>
          </w:tcPr>
          <w:p>
            <w:pPr>
              <w:spacing w:after="0"/>
            </w:pPr>
            <w:r>
              <w:rPr>
                <w:sz w:val="19"/>
                <w:szCs w:val="19"/>
              </w:rPr>
              <w:t xml:space="preserve">Kolme täydellistä virheenkorjausketjua (K1 ostoskori, K2 palautemuutos, K3 tietoturvalöydös): havainto → toisto → syy → korjauscommit → uusintatesti →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14 tapauksen testimatriisi (odotettu tulos kirjattu ennen ajoa) ajettuna julkaistua versiota vasten; uusintatestaukset korjausten jälkeen</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Tilauslogiikka jaettuna moduuleihin ja funktioihin (reitit, kantakerros, validointi); frontissa komponentti- ja store-jako, ei yhtä jättitiedostoa</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Refaktorointicommitit perusteluineen: nimeäminen, toisteisuuden poisto, komponentin pilkkominen; testit vihreinä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w:t>
            </w:r>
          </w:p>
        </w:tc>
        <w:tc>
          <w:tcPr>
            <w:tcW w:type="dxa" w:w="5975"/>
            <w:tcMar>
              <w:top w:type="dxa" w:w="60"/>
              <w:left w:type="dxa" w:w="100"/>
              <w:bottom w:type="dxa" w:w="60"/>
              <w:right w:type="dxa" w:w="100"/>
            </w:tcMar>
          </w:tcPr>
          <w:p>
            <w:pPr>
              <w:spacing w:after="0"/>
            </w:pPr>
            <w:r>
              <w:rPr>
                <w:sz w:val="19"/>
                <w:szCs w:val="19"/>
              </w:rPr>
              <w:t xml:space="preserve">Näkymät toteutettu viikon 2 hyväksytyistä rautalangoista; responsiivisuuden taitekohdat ja mobiilitestaus oikealla puhelimella</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Tilaus ja tilaushistoria toteutettu käyttäjätarinoiden ja hyväksymiskriteerien mukaan; kytkentä tarina → issue → commit</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Tehtävät sovittu ohjaajan kanssa ja kirjattu issueiksi; tehtävien tila näkyvänä koko projektin ajan (issue-taulu)</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7, 8</w:t>
            </w:r>
          </w:p>
        </w:tc>
        <w:tc>
          <w:tcPr>
            <w:tcW w:type="dxa" w:w="5975"/>
            <w:tcMar>
              <w:top w:type="dxa" w:w="60"/>
              <w:left w:type="dxa" w:w="100"/>
              <w:bottom w:type="dxa" w:w="60"/>
              <w:right w:type="dxa" w:w="100"/>
            </w:tcMar>
          </w:tcPr>
          <w:p>
            <w:pPr>
              <w:spacing w:after="0"/>
            </w:pPr>
            <w:r>
              <w:rPr>
                <w:sz w:val="19"/>
                <w:szCs w:val="19"/>
              </w:rPr>
              <w:t xml:space="preserve">Kaksi kirjattua vertailua ja yhteispäätöstä ohjaajan kanssa: korin tallennus (Pinia+localStorage vs. backend) ja istuntoratkaisu (JWT vs. eväste-sessio)</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w:t>
            </w:r>
          </w:p>
        </w:tc>
        <w:tc>
          <w:tcPr>
            <w:tcW w:type="dxa" w:w="5975"/>
            <w:tcMar>
              <w:top w:type="dxa" w:w="60"/>
              <w:left w:type="dxa" w:w="100"/>
              <w:bottom w:type="dxa" w:w="60"/>
              <w:right w:type="dxa" w:w="100"/>
            </w:tcMar>
          </w:tcPr>
          <w:p>
            <w:pPr>
              <w:spacing w:after="0"/>
            </w:pPr>
            <w:r>
              <w:rPr>
                <w:sz w:val="19"/>
                <w:szCs w:val="19"/>
              </w:rPr>
              <w:t xml:space="preserve">Asiakaskatselmoinnin muistio: täyttääkö toteutus tarinat, mitä muutetaan ennen seuraavaa versiota; priorisoitu ohjaajan kanssa</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Itsearviointi konkreettisin tilantein: mikä onnistui, missä tarvitsi apua, mitä tekisi toisin</w:t>
            </w:r>
          </w:p>
        </w:tc>
      </w:tr>
    </w:tbl>
    <w:p>
      <w:pPr>
        <w:spacing w:after="120" w:before="0"/>
      </w:pPr>
      <w:r>
        <w:rPr>
          <w:sz w:val="21"/>
          <w:szCs w:val="21"/>
        </w:rPr>
      </w:r>
    </w:p>
    <w:p>
      <w:pPr>
        <w:pStyle w:val="Heading2"/>
        <w:spacing w:before="260" w:after="120"/>
      </w:pPr>
      <w:r>
        <w:rPr>
          <w:b/>
          <w:bCs/>
          <w:color w:val="9a3412"/>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beee5" w:val="clear"/>
            <w:tcMar>
              <w:top w:type="dxa" w:w="60"/>
              <w:left w:type="dxa" w:w="100"/>
              <w:bottom w:type="dxa" w:w="60"/>
              <w:right w:type="dxa" w:w="100"/>
            </w:tcMar>
          </w:tcPr>
          <w:p>
            <w:pPr>
              <w:spacing w:after="0"/>
            </w:pPr>
            <w:r>
              <w:rPr>
                <w:b/>
                <w:bCs/>
                <w:sz w:val="19"/>
                <w:szCs w:val="19"/>
              </w:rPr>
              <w:t xml:space="preserve">Arvioinnin kohde</w:t>
            </w:r>
          </w:p>
        </w:tc>
        <w:tc>
          <w:tcPr>
            <w:tcW w:type="dxa" w:w="964"/>
            <w:shd w:fill="fbeee5" w:val="clear"/>
            <w:tcMar>
              <w:top w:type="dxa" w:w="60"/>
              <w:left w:type="dxa" w:w="100"/>
              <w:bottom w:type="dxa" w:w="60"/>
              <w:right w:type="dxa" w:w="100"/>
            </w:tcMar>
          </w:tcPr>
          <w:p>
            <w:pPr>
              <w:spacing w:after="0"/>
            </w:pPr>
            <w:r>
              <w:rPr>
                <w:b/>
                <w:bCs/>
                <w:sz w:val="19"/>
                <w:szCs w:val="19"/>
              </w:rPr>
              <w:t xml:space="preserve">Vko</w:t>
            </w:r>
          </w:p>
        </w:tc>
        <w:tc>
          <w:tcPr>
            <w:tcW w:type="dxa" w:w="5975"/>
            <w:shd w:fill="fbeee5"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Toimeksiannosta johdetut käyttäjätarinat, kysymyslista ja vastaukset, rajaus (maksaminen pois) kirjattuna</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10, 17</w:t>
            </w:r>
          </w:p>
        </w:tc>
        <w:tc>
          <w:tcPr>
            <w:tcW w:type="dxa" w:w="5975"/>
            <w:tcMar>
              <w:top w:type="dxa" w:w="60"/>
              <w:left w:type="dxa" w:w="100"/>
              <w:bottom w:type="dxa" w:w="60"/>
              <w:right w:type="dxa" w:w="100"/>
            </w:tcMar>
          </w:tcPr>
          <w:p>
            <w:pPr>
              <w:spacing w:after="0"/>
            </w:pPr>
            <w:r>
              <w:rPr>
                <w:sz w:val="19"/>
                <w:szCs w:val="19"/>
              </w:rPr>
              <w:t xml:space="preserve">Katselmoinnin asiakaskielinen yhteenveto ja viikon 17 luovutusviesti, ilman teknistä jargonia; maksurajauksen selitys asiakkaalle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10, 16</w:t>
            </w:r>
          </w:p>
        </w:tc>
        <w:tc>
          <w:tcPr>
            <w:tcW w:type="dxa" w:w="5975"/>
            <w:tcMar>
              <w:top w:type="dxa" w:w="60"/>
              <w:left w:type="dxa" w:w="100"/>
              <w:bottom w:type="dxa" w:w="60"/>
              <w:right w:type="dxa" w:w="100"/>
            </w:tcMar>
          </w:tcPr>
          <w:p>
            <w:pPr>
              <w:spacing w:after="0"/>
            </w:pPr>
            <w:r>
              <w:rPr>
                <w:sz w:val="19"/>
                <w:szCs w:val="19"/>
              </w:rPr>
              <w:t xml:space="preserve">Kaksi katselmointia: asiakaskatselmointi puolivälissä ja RC:n julkaisutestaus; muistiot rooleineen ja sitaatteineen</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Käyttäjätarinoiden P0/P1/P2-priorisointi perusteluineen; P0 = toimiva ostopolku ilman maksua</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Tarinat pilkottu issueiksi (≥8 kpl), yksi issue ≈ 0,5–1 päivän työ; issue-taulu koko projektin ajan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Työmääräarviot ja niiden päivitys toteutuneen perusteella: suunnitelman muutoshistoria näyttää mikä arvio muuttui ja miksi</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9, 13</w:t>
            </w:r>
          </w:p>
        </w:tc>
        <w:tc>
          <w:tcPr>
            <w:tcW w:type="dxa" w:w="5975"/>
            <w:tcMar>
              <w:top w:type="dxa" w:w="60"/>
              <w:left w:type="dxa" w:w="100"/>
              <w:bottom w:type="dxa" w:w="60"/>
              <w:right w:type="dxa" w:w="100"/>
            </w:tcMar>
          </w:tcPr>
          <w:p>
            <w:pPr>
              <w:spacing w:after="0"/>
            </w:pPr>
            <w:r>
              <w:rPr>
                <w:sz w:val="19"/>
                <w:szCs w:val="19"/>
              </w:rPr>
              <w:t xml:space="preserve">Tilauksen muodostus transaktiona, tilaushetken hinnat, tilausten tilat ja niiden muutokset, roolikohtaiset näkymät</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Kirjallinen vertailu SQLite / JSON / PostgreSQL datan rakenteen, käyttötilanteen ja laajuuden perusteella; sovitun valinnan (SQLite) perustelu suunnitelmassa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3, 12</w:t>
            </w:r>
          </w:p>
        </w:tc>
        <w:tc>
          <w:tcPr>
            <w:tcW w:type="dxa" w:w="5975"/>
            <w:tcMar>
              <w:top w:type="dxa" w:w="60"/>
              <w:left w:type="dxa" w:w="100"/>
              <w:bottom w:type="dxa" w:w="60"/>
              <w:right w:type="dxa" w:w="100"/>
            </w:tcMar>
          </w:tcPr>
          <w:p>
            <w:pPr>
              <w:spacing w:after="0"/>
            </w:pPr>
            <w:r>
              <w:rPr>
                <w:sz w:val="19"/>
                <w:szCs w:val="19"/>
              </w:rPr>
              <w:t xml:space="preserve">Luku (tuotelista, haku) ja kirjoitus (tilaukset, tuotehallinnan lisäys/muokkaus/poisto) SQLite-kantaan hallitusti</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6</w:t>
            </w:r>
          </w:p>
        </w:tc>
        <w:tc>
          <w:tcPr>
            <w:tcW w:type="dxa" w:w="5975"/>
            <w:tcMar>
              <w:top w:type="dxa" w:w="60"/>
              <w:left w:type="dxa" w:w="100"/>
              <w:bottom w:type="dxa" w:w="60"/>
              <w:right w:type="dxa" w:w="100"/>
            </w:tcMar>
          </w:tcPr>
          <w:p>
            <w:pPr>
              <w:spacing w:after="0"/>
            </w:pPr>
            <w:r>
              <w:rPr>
                <w:sz w:val="19"/>
                <w:szCs w:val="19"/>
              </w:rPr>
              <w:t xml:space="preserve">Oma REST-rajapinta: haku kyselyparametrilla, virhetilanteiden käsittely fetchissä, lataus/tyhjä/virhe-tilat käyttöliittymässä</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8, 12, 14</w:t>
            </w:r>
          </w:p>
        </w:tc>
        <w:tc>
          <w:tcPr>
            <w:tcW w:type="dxa" w:w="5975"/>
            <w:tcMar>
              <w:top w:type="dxa" w:w="60"/>
              <w:left w:type="dxa" w:w="100"/>
              <w:bottom w:type="dxa" w:w="60"/>
              <w:right w:type="dxa" w:w="100"/>
            </w:tcMar>
          </w:tcPr>
          <w:p>
            <w:pPr>
              <w:spacing w:after="0"/>
            </w:pPr>
            <w:r>
              <w:rPr>
                <w:sz w:val="19"/>
                <w:szCs w:val="19"/>
              </w:rPr>
              <w:t xml:space="preserve">Salasanojen hashaus ja istuntopäätös (vko 8), kaksikerroksinen roolisuojaus (vko 12), tietoturva-arvio omine hyökkäystesteineen: injektio, XSS, IDOR (vko 14)</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Git koko projektin ajan: tarkoituksenmukaiset commitit, etärepository, sovitut haarakäytännöt; commit-historia näyttöaineistona</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7</w:t>
            </w:r>
          </w:p>
        </w:tc>
        <w:tc>
          <w:tcPr>
            <w:tcW w:type="dxa" w:w="5975"/>
            <w:tcMar>
              <w:top w:type="dxa" w:w="60"/>
              <w:left w:type="dxa" w:w="100"/>
              <w:bottom w:type="dxa" w:w="60"/>
              <w:right w:type="dxa" w:w="100"/>
            </w:tcMar>
          </w:tcPr>
          <w:p>
            <w:pPr>
              <w:spacing w:after="0"/>
            </w:pPr>
            <w:r>
              <w:rPr>
                <w:sz w:val="19"/>
                <w:szCs w:val="19"/>
              </w:rPr>
              <w:t xml:space="preserve">Ostoskori toteutettu haarassa feature/ostoskori ja yhdistetty pull requestilla; mahdollinen konflikti ratkaistu ja kirjattu</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5, 17</w:t>
            </w:r>
          </w:p>
        </w:tc>
        <w:tc>
          <w:tcPr>
            <w:tcW w:type="dxa" w:w="5975"/>
            <w:tcMar>
              <w:top w:type="dxa" w:w="60"/>
              <w:left w:type="dxa" w:w="100"/>
              <w:bottom w:type="dxa" w:w="60"/>
              <w:right w:type="dxa" w:w="100"/>
            </w:tcMar>
          </w:tcPr>
          <w:p>
            <w:pPr>
              <w:spacing w:after="0"/>
            </w:pPr>
            <w:r>
              <w:rPr>
                <w:sz w:val="19"/>
                <w:szCs w:val="19"/>
              </w:rPr>
              <w:t xml:space="preserve">Ensijulkaisu vertailtuun alustaan ympäristömuuttujineen (vko 5); RC- ja v1.0-julkaisut tageineen ja julkaisumuistioineen (vkot 16–17)</w:t>
            </w:r>
          </w:p>
        </w:tc>
      </w:tr>
    </w:tbl>
    <w:p>
      <w:pPr>
        <w:spacing w:after="120" w:before="0"/>
      </w:pPr>
      <w:r>
        <w:rPr>
          <w:sz w:val="21"/>
          <w:szCs w:val="21"/>
        </w:rPr>
      </w:r>
    </w:p>
    <w:p>
      <w:pPr>
        <w:pStyle w:val="Heading2"/>
        <w:spacing w:before="260" w:after="120"/>
      </w:pPr>
      <w:r>
        <w:rPr>
          <w:b/>
          <w:bCs/>
          <w:color w:val="9a3412"/>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beee5" w:val="clear"/>
            <w:tcMar>
              <w:top w:type="dxa" w:w="60"/>
              <w:left w:type="dxa" w:w="100"/>
              <w:bottom w:type="dxa" w:w="60"/>
              <w:right w:type="dxa" w:w="100"/>
            </w:tcMar>
          </w:tcPr>
          <w:p>
            <w:pPr>
              <w:spacing w:after="0"/>
            </w:pPr>
            <w:r>
              <w:rPr>
                <w:b/>
                <w:bCs/>
                <w:sz w:val="19"/>
                <w:szCs w:val="19"/>
              </w:rPr>
              <w:t xml:space="preserve">Arvioinnin kohde</w:t>
            </w:r>
          </w:p>
        </w:tc>
        <w:tc>
          <w:tcPr>
            <w:tcW w:type="dxa" w:w="964"/>
            <w:shd w:fill="fbeee5" w:val="clear"/>
            <w:tcMar>
              <w:top w:type="dxa" w:w="60"/>
              <w:left w:type="dxa" w:w="100"/>
              <w:bottom w:type="dxa" w:w="60"/>
              <w:right w:type="dxa" w:w="100"/>
            </w:tcMar>
          </w:tcPr>
          <w:p>
            <w:pPr>
              <w:spacing w:after="0"/>
            </w:pPr>
            <w:r>
              <w:rPr>
                <w:b/>
                <w:bCs/>
                <w:sz w:val="19"/>
                <w:szCs w:val="19"/>
              </w:rPr>
              <w:t xml:space="preserve">Vko</w:t>
            </w:r>
          </w:p>
        </w:tc>
        <w:tc>
          <w:tcPr>
            <w:tcW w:type="dxa" w:w="5975"/>
            <w:shd w:fill="fbeee5"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1, 5</w:t>
            </w:r>
          </w:p>
        </w:tc>
        <w:tc>
          <w:tcPr>
            <w:tcW w:type="dxa" w:w="5975"/>
            <w:tcMar>
              <w:top w:type="dxa" w:w="60"/>
              <w:left w:type="dxa" w:w="100"/>
              <w:bottom w:type="dxa" w:w="60"/>
              <w:right w:type="dxa" w:w="100"/>
            </w:tcMar>
          </w:tcPr>
          <w:p>
            <w:pPr>
              <w:spacing w:after="0"/>
            </w:pPr>
            <w:r>
              <w:rPr>
                <w:sz w:val="19"/>
                <w:szCs w:val="19"/>
              </w:rPr>
              <w:t xml:space="preserve">Vue 3 + Vite -projektin luonti ja konfigurointi; kehitys- ja tuotantoasetusten ero (API-osoite, build) dokumentoituna</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Selvitys project-docs/vue-pinia-selvitys.md (suunnitelman komponenttijako linkittää siihen): omat P0-tarinat taulukkona, mitä Vue/Pinia ratkaisee (komponentit, reaktiivisuus, tila) ja missä tarvitaan muuta (backend rooleille ja istunnoille, SPA:n rajoitteet)</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3, 7</w:t>
            </w:r>
          </w:p>
        </w:tc>
        <w:tc>
          <w:tcPr>
            <w:tcW w:type="dxa" w:w="5975"/>
            <w:tcMar>
              <w:top w:type="dxa" w:w="60"/>
              <w:left w:type="dxa" w:w="100"/>
              <w:bottom w:type="dxa" w:w="60"/>
              <w:right w:type="dxa" w:w="100"/>
            </w:tcMar>
          </w:tcPr>
          <w:p>
            <w:pPr>
              <w:spacing w:after="0"/>
            </w:pPr>
            <w:r>
              <w:rPr>
                <w:sz w:val="19"/>
                <w:szCs w:val="19"/>
              </w:rPr>
              <w:t xml:space="preserve">Komponentit, propsit, computed-arvot ja Pinia-store (kori, auth) käytössä; itse rakennettu tuotelistanäkymä ilman valmista UI-kirjastoa</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4, 9</w:t>
            </w:r>
          </w:p>
        </w:tc>
        <w:tc>
          <w:tcPr>
            <w:tcW w:type="dxa" w:w="5975"/>
            <w:tcMar>
              <w:top w:type="dxa" w:w="60"/>
              <w:left w:type="dxa" w:w="100"/>
              <w:bottom w:type="dxa" w:w="60"/>
              <w:right w:type="dxa" w:w="100"/>
            </w:tcMar>
          </w:tcPr>
          <w:p>
            <w:pPr>
              <w:spacing w:after="0"/>
            </w:pPr>
            <w:r>
              <w:rPr>
                <w:sz w:val="19"/>
                <w:szCs w:val="19"/>
              </w:rPr>
              <w:t xml:space="preserve">vue-router perusteltuna (reititys) ja yksi oma perusteltu lisäpaketti (esim. vee-validate); käyttötarkoitus, konfigurointi ja riippuvuusvaikutus kirjattu</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Komponenttirakenne ja vastuut suunnitelmassa, tarinoiden mukainen toteutus ja koko testimatriisi kirjastopohjaista sovellusta vasten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17</w:t>
            </w:r>
          </w:p>
        </w:tc>
        <w:tc>
          <w:tcPr>
            <w:tcW w:type="dxa" w:w="5975"/>
            <w:tcMar>
              <w:top w:type="dxa" w:w="60"/>
              <w:left w:type="dxa" w:w="100"/>
              <w:bottom w:type="dxa" w:w="60"/>
              <w:right w:type="dxa" w:w="100"/>
            </w:tcMar>
          </w:tcPr>
          <w:p>
            <w:pPr>
              <w:spacing w:after="0"/>
            </w:pPr>
            <w:r>
              <w:rPr>
                <w:sz w:val="19"/>
                <w:szCs w:val="19"/>
              </w:rPr>
              <w:t xml:space="preserve">Tuotanto-build ja v1.0-julkaisu sovittuun ympäristöön; luovutus asiakkaalle ohjeineen</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16</w:t>
            </w:r>
          </w:p>
        </w:tc>
        <w:tc>
          <w:tcPr>
            <w:tcW w:type="dxa" w:w="5975"/>
            <w:tcMar>
              <w:top w:type="dxa" w:w="60"/>
              <w:left w:type="dxa" w:w="100"/>
              <w:bottom w:type="dxa" w:w="60"/>
              <w:right w:type="dxa" w:w="100"/>
            </w:tcMar>
          </w:tcPr>
          <w:p>
            <w:pPr>
              <w:spacing w:after="0"/>
            </w:pPr>
            <w:r>
              <w:rPr>
                <w:sz w:val="19"/>
                <w:szCs w:val="19"/>
              </w:rPr>
              <w:t xml:space="preserve">README: käyttöönotto, käynnistys, riippuvuudet, ympäristöasetukset, tunnetut puutteet; ulkopuolisen julkaisutestillä todennettu ohje</w:t>
            </w:r>
          </w:p>
        </w:tc>
      </w:tr>
    </w:tbl>
    <w:p>
      <w:pPr>
        <w:spacing w:after="120" w:before="0"/>
      </w:pPr>
      <w:r>
        <w:rPr>
          <w:sz w:val="21"/>
          <w:szCs w:val="21"/>
        </w:rPr>
      </w:r>
    </w:p>
    <w:p>
      <w:r>
        <w:br w:type="page"/>
      </w:r>
    </w:p>
    <w:p>
      <w:pPr>
        <w:pStyle w:val="Heading1"/>
        <w:spacing w:before="320" w:after="160"/>
      </w:pPr>
      <w:r>
        <w:rPr>
          <w:b/>
          <w:bCs/>
          <w:color w:val="9a3412"/>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fbeee5" w:val="clear"/>
            <w:tcMar>
              <w:top w:type="dxa" w:w="60"/>
              <w:left w:type="dxa" w:w="100"/>
              <w:bottom w:type="dxa" w:w="60"/>
              <w:right w:type="dxa" w:w="100"/>
            </w:tcMar>
          </w:tcPr>
          <w:p>
            <w:pPr>
              <w:spacing w:after="0"/>
            </w:pPr>
            <w:r>
              <w:rPr>
                <w:b/>
                <w:bCs/>
                <w:sz w:val="19"/>
                <w:szCs w:val="19"/>
              </w:rPr>
              <w:t xml:space="preserve">Käyttäjälle</w:t>
            </w:r>
          </w:p>
        </w:tc>
        <w:tc>
          <w:tcPr>
            <w:tcW w:type="dxa" w:w="6747"/>
            <w:shd w:fill="fbeee5"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(käyttöönotto, käynnistys, riippuvuudet, ympäristömuuttujat, tunnetut puutteet) ja lyhyt asiakasohje kaupan käyttöön. Todennetaan viikon 16 julkaisutestillä: ulkopuolinen pääsee ohjeella rekisteröitymisestä testitilaukseen.</w:t>
            </w:r>
          </w:p>
        </w:tc>
        <w:tc>
          <w:tcPr>
            <w:tcW w:type="dxa" w:w="6747"/>
            <w:tcMar>
              <w:top w:type="dxa" w:w="60"/>
              <w:left w:type="dxa" w:w="100"/>
              <w:bottom w:type="dxa" w:w="60"/>
              <w:right w:type="dxa" w:w="100"/>
            </w:tcMar>
          </w:tcPr>
          <w:p>
            <w:pPr>
              <w:spacing w:after="0"/>
            </w:pPr>
            <w:r>
              <w:rPr>
                <w:sz w:val="19"/>
                <w:szCs w:val="19"/>
              </w:rPr>
              <w:t xml:space="preserve">Projektipäiväkirja, AI-loki, suunnitelma muutoshistorioineen, testimatriisin tulostaulukko, kolme virheenkorjausketjua, kaksi katselmointimuistiota, tietoturva-arvio, Lighthouse-raportit sekä issue- ja commit-historia.</w:t>
            </w:r>
          </w:p>
        </w:tc>
      </w:tr>
    </w:tbl>
    <w:p>
      <w:pPr>
        <w:spacing w:after="120" w:before="120"/>
      </w:pPr>
      <w:r>
        <w:rPr>
          <w:sz w:val="21"/>
          <w:szCs w:val="21"/>
        </w:rPr>
        <w:t xml:space="preserve">Dokumentaatio kirjoitetaan käyttäjälle, ei arviointia varten. Arviointiaineisto kootaan erikseen tiedostoon project-docs/nayttomatriisi.md: perustetaan viikolla 17 ja viimeistellään viikolla 18.</w:t>
      </w:r>
    </w:p>
    <w:p>
      <w:pPr>
        <w:pStyle w:val="Heading1"/>
        <w:spacing w:before="320" w:after="160"/>
      </w:pPr>
      <w:r>
        <w:rPr>
          <w:b/>
          <w:bCs/>
          <w:color w:val="9a3412"/>
        </w:rPr>
        <w:t xml:space="preserve">6 · Tekoälyn käyttö</w:t>
      </w:r>
    </w:p>
    <w:p>
      <w:pPr>
        <w:spacing w:after="120" w:before="0"/>
      </w:pPr>
      <w:r>
        <w:rPr>
          <w:sz w:val="21"/>
          <w:szCs w:val="21"/>
        </w:rPr>
        <w:t xml:space="preserve">Tekoäly on sallittu apuväline: se saa selittää virheilmoituksia, ehdottaa testitapauksia ja tarkistaa ratkaisuja. Merkittävä käyttö kirjataan AI-lokiin muodossa ymmärrä, tarkista, testaa, kirjaa.</w:t>
      </w:r>
    </w:p>
    <w:p>
      <w:pPr>
        <w:spacing w:after="120" w:before="0"/>
      </w:pPr>
      <w:r>
        <w:rPr>
          <w:sz w:val="21"/>
          <w:szCs w:val="21"/>
        </w:rPr>
        <w:t xml:space="preserve">Itse tehtävä ydin: komponenttirakenne, saavutettavuusratkaisut ja CSS. Tietoturvaratkaisut (salasanakäsittely, istunnot ja roolitarkistukset) pitää ymmärtää ja perustella itse. Viikon 3 tuotelistanäkymä rakennetaan kokonaan itse ilman valmista UI-komponenttikirjastoa.</w:t>
      </w:r>
    </w:p>
    <w:p>
      <w:pPr>
        <w:spacing w:after="120" w:before="0"/>
      </w:pPr>
      <w:r>
        <w:rPr>
          <w:sz w:val="21"/>
          <w:szCs w:val="21"/>
        </w:rPr>
        <w:t xml:space="preserve">Projekti on suunniteltu kestämään kielimallin käyttöä: jokaisella viikolla on oma konteksti (oma teema ja seed-data, oma tietomalli), oma artefakti (testiajot, kuvakaappaukset, commit-historia, julkaisuloki) tai nimetty ihminen (ohjaaja, katselmoija, julkaisutestaaja). Yhtään viikkoa ei voi kuitata kopioimalla tehtävänantoa kielimalliin.</w:t>
      </w:r>
    </w:p>
    <w:p>
      <w:pPr>
        <w:pStyle w:val="Heading1"/>
        <w:spacing w:before="320" w:after="160"/>
      </w:pPr>
      <w:r>
        <w:rPr>
          <w:b/>
          <w:bCs/>
          <w:color w:val="9a3412"/>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Julkinen osoite, jossa v1.0 toimii, sekä git-tagit v1.0-rc1 ja v1.0.</w:t>
      </w:r>
    </w:p>
    <w:p>
      <w:pPr>
        <w:spacing w:after="20" w:before="0"/>
      </w:pPr>
      <w:r>
        <w:rPr>
          <w:b/>
          <w:bCs/>
          <w:sz w:val="21"/>
          <w:szCs w:val="21"/>
        </w:rPr>
        <w:t xml:space="preserve">Repository</w:t>
      </w:r>
    </w:p>
    <w:p>
      <w:pPr>
        <w:spacing w:after="120" w:before="0"/>
      </w:pPr>
      <w:r>
        <w:rPr>
          <w:color w:val="555555"/>
          <w:sz w:val="20"/>
          <w:szCs w:val="20"/>
        </w:rPr>
        <w:t xml:space="preserve">Lähdekoodi, README, asiakasohje, CREDITS ja mahdollinen LICENSE; ei salaisuuksia historiassa.</w:t>
      </w:r>
    </w:p>
    <w:p>
      <w:pPr>
        <w:spacing w:after="20" w:before="0"/>
      </w:pPr>
      <w:r>
        <w:rPr>
          <w:b/>
          <w:bCs/>
          <w:sz w:val="21"/>
          <w:szCs w:val="21"/>
        </w:rPr>
        <w:t xml:space="preserve">project-docs</w:t>
      </w:r>
    </w:p>
    <w:p>
      <w:pPr>
        <w:spacing w:after="120" w:before="0"/>
      </w:pPr>
      <w:r>
        <w:rPr>
          <w:color w:val="555555"/>
          <w:sz w:val="20"/>
          <w:szCs w:val="20"/>
        </w:rPr>
        <w:t xml:space="preserve">Suunnitelma, projektipäiväkirja, AI-loki, testimatriisin tulokset, katselmointimuistiot, tietoturva-arvio, Lighthouse-raportit ja luovutusviesti.</w:t>
      </w:r>
    </w:p>
    <w:p>
      <w:pPr>
        <w:spacing w:after="20" w:before="0"/>
      </w:pPr>
      <w:r>
        <w:rPr>
          <w:b/>
          <w:bCs/>
          <w:sz w:val="21"/>
          <w:szCs w:val="21"/>
        </w:rPr>
        <w:t xml:space="preserve">Näyttömatriisi</w:t>
      </w:r>
    </w:p>
    <w:p>
      <w:pPr>
        <w:spacing w:after="120" w:before="0"/>
      </w:pPr>
      <w:r>
        <w:rPr>
          <w:color w:val="555555"/>
          <w:sz w:val="20"/>
          <w:szCs w:val="20"/>
        </w:rPr>
        <w:t xml:space="preserve">project-docs/nayttomatriisi.md: 32 vaatimusta, joilla jokaisella on viikko ja toimiva linkki työnäytteeseen.</w:t>
      </w:r>
    </w:p>
    <w:p>
      <w:pPr>
        <w:spacing w:after="20" w:before="0"/>
      </w:pPr>
      <w:r>
        <w:rPr>
          <w:b/>
          <w:bCs/>
          <w:sz w:val="21"/>
          <w:szCs w:val="21"/>
        </w:rPr>
        <w:t xml:space="preserve">Demo</w:t>
      </w:r>
    </w:p>
    <w:p>
      <w:pPr>
        <w:spacing w:after="120" w:before="0"/>
      </w:pPr>
      <w:r>
        <w:rPr>
          <w:color w:val="555555"/>
          <w:sz w:val="20"/>
          <w:szCs w:val="20"/>
        </w:rPr>
        <w:t xml:space="preserve">8–10 minuutin esitys: tilauspolku tuotannossa, yksi tekninen ratkaisu, yksi korjattu bugi ketjuna, Git-historia ja AI-lokin tarkistettu käyttö.</w:t>
      </w:r>
    </w:p>
    <w:p>
      <w:pPr>
        <w:spacing w:after="120" w:before="100"/>
      </w:pPr>
      <w:r>
        <w:rPr>
          <w:b/>
          <w:bCs/>
          <w:sz w:val="21"/>
          <w:szCs w:val="21"/>
        </w:rPr>
        <w:t xml:space="preserve">Luovutus viimeistään 18. työviikon perjantai.</w:t>
      </w:r>
    </w:p>
    <w:p>
      <w:pPr>
        <w:pStyle w:val="Heading1"/>
        <w:spacing w:before="320" w:after="160"/>
      </w:pPr>
      <w:r>
        <w:rPr>
          <w:b/>
          <w:bCs/>
          <w:color w:val="9a3412"/>
        </w:rPr>
        <w:t xml:space="preserve">8 · Huomioita opettajalle</w:t>
      </w:r>
    </w:p>
    <w:p>
      <w:pPr>
        <w:spacing w:after="20" w:before="0"/>
      </w:pPr>
      <w:r>
        <w:rPr>
          <w:b/>
          <w:bCs/>
          <w:sz w:val="21"/>
          <w:szCs w:val="21"/>
        </w:rPr>
        <w:t xml:space="preserve">Päivätön aikataulu</w:t>
      </w:r>
    </w:p>
    <w:p>
      <w:pPr>
        <w:spacing w:after="140" w:before="0"/>
      </w:pPr>
      <w:r>
        <w:rPr>
          <w:color w:val="555555"/>
          <w:sz w:val="20"/>
          <w:szCs w:val="20"/>
        </w:rPr>
        <w:t xml:space="preserve">Viikot 1–18 ovat työviikkoja opiskelijan omasta aloituksesta. Sivustolla ja paperiaineistossa ei ole kalenteripäivämääriä, joten sama aineisto kelpaa eri aloitusajankohtiin.</w:t>
      </w:r>
    </w:p>
    <w:p>
      <w:pPr>
        <w:spacing w:after="20" w:before="0"/>
      </w:pPr>
      <w:r>
        <w:rPr>
          <w:b/>
          <w:bCs/>
          <w:sz w:val="21"/>
          <w:szCs w:val="21"/>
        </w:rPr>
        <w:t xml:space="preserve">Katselmoijat ovat viikon 1 järjestelykysymys</w:t>
      </w:r>
    </w:p>
    <w:p>
      <w:pPr>
        <w:spacing w:after="140" w:before="0"/>
      </w:pPr>
      <w:r>
        <w:rPr>
          <w:color w:val="555555"/>
          <w:sz w:val="20"/>
          <w:szCs w:val="20"/>
        </w:rPr>
        <w:t xml:space="preserve">Etsintä käynnistetään heti viikolla 1 ja nimeäminen tehdään viimeistään ennen viikkoa 10. Kunnes asiakkaan edustaja on nimetty, ohjaaja toimii asiakkaan sijaisena ja vastaanottaa kysymyslistat ja tilannekatsaukset. Repositoryyn kirjataan henkilöistä vain rooli. Viikon 10 ja 16 katselmoija ei saa olla oma ohjaaja.</w:t>
      </w:r>
    </w:p>
    <w:p>
      <w:pPr>
        <w:spacing w:after="20" w:before="0"/>
      </w:pPr>
      <w:r>
        <w:rPr>
          <w:b/>
          <w:bCs/>
          <w:sz w:val="21"/>
          <w:szCs w:val="21"/>
        </w:rPr>
        <w:t xml:space="preserve">Maksunvälitys on rajattu pois asiakkaan suulla</w:t>
      </w:r>
    </w:p>
    <w:p>
      <w:pPr>
        <w:spacing w:after="140" w:before="0"/>
      </w:pPr>
      <w:r>
        <w:rPr>
          <w:color w:val="555555"/>
          <w:sz w:val="20"/>
          <w:szCs w:val="20"/>
        </w:rPr>
        <w:t xml:space="preserve">Rajaus on toimeksiannossa asiakkaan omana päätöksenä. Sitä ei toteuteta osittainkaan, ja rajauksen selittäminen asiakkaalle on osa s2:n työnäytettä.</w:t>
      </w:r>
    </w:p>
    <w:p>
      <w:pPr>
        <w:spacing w:after="20" w:before="0"/>
      </w:pPr>
      <w:r>
        <w:rPr>
          <w:b/>
          <w:bCs/>
          <w:sz w:val="21"/>
          <w:szCs w:val="21"/>
        </w:rPr>
        <w:t xml:space="preserve">Testiluokkien jakauma on tietoinen poikkeama</w:t>
      </w:r>
    </w:p>
    <w:p>
      <w:pPr>
        <w:spacing w:after="140" w:before="0"/>
      </w:pPr>
      <w:r>
        <w:rPr>
          <w:color w:val="555555"/>
          <w:sz w:val="20"/>
          <w:szCs w:val="20"/>
        </w:rPr>
        <w:t xml:space="preserve">14 testitapausta jakautuvat 6 normaalia, 4 rajaa ja 4 virhetilannetta. Virhetilanneluokka täydentyy viikon 14 hyökkäystesteillä (injektio, XSS, IDOR, auktorisointi), jotka kirjataan samalla tarkkuudella matriisin jatkoksi.</w:t>
      </w:r>
    </w:p>
    <w:p>
      <w:pPr>
        <w:spacing w:after="20" w:before="0"/>
      </w:pPr>
      <w:r>
        <w:rPr>
          <w:b/>
          <w:bCs/>
          <w:sz w:val="21"/>
          <w:szCs w:val="21"/>
        </w:rPr>
        <w:t xml:space="preserve">Viikon 13 jälkeen ei uusia ominaisuuksia</w:t>
      </w:r>
    </w:p>
    <w:p>
      <w:pPr>
        <w:spacing w:after="140" w:before="0"/>
      </w:pPr>
      <w:r>
        <w:rPr>
          <w:color w:val="555555"/>
          <w:sz w:val="20"/>
          <w:szCs w:val="20"/>
        </w:rPr>
        <w:t xml:space="preserve">Ominaisuuslistan päättyminen sanotaan opiskelijalle ääneen viikon 13 kortissa. Jos uusia ominaisuuksia ilmaantuu viikoilla 14–17, rajaus on pettänyt ja se on syytä ottaa puheeksi.</w:t>
      </w:r>
    </w:p>
    <w:p>
      <w:pPr>
        <w:spacing w:after="20" w:before="0"/>
      </w:pPr>
      <w:r>
        <w:rPr>
          <w:b/>
          <w:bCs/>
          <w:sz w:val="21"/>
          <w:szCs w:val="21"/>
        </w:rPr>
        <w:t xml:space="preserve">Avoimet asiat ovat ohjaajan pöydällä</w:t>
      </w:r>
    </w:p>
    <w:p>
      <w:pPr>
        <w:spacing w:after="140" w:before="0"/>
      </w:pPr>
      <w:r>
        <w:rPr>
          <w:color w:val="555555"/>
          <w:sz w:val="20"/>
          <w:szCs w:val="20"/>
        </w:rPr>
        <w:t xml:space="preserve">Lisenssi, repositoryn julkisuus ja tekijänimi (alaikäisellä huoltajan suostumus), oppilaitoksen linja julkaisualustasta, katselmoijien nimeäminen ja perusteversion siirtymäsääntö (OPH-6216-2025). Tyhjä kenttä suunnitelmassa on oikea tulos, kunnes asia on sovittu.</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2026-09-30T20:13:35.287Z</dcterms:created>
  <dcterms:modified xsi:type="dcterms:W3CDTF">2026-09-30T20:13:35.287Z</dcterms:modified>
</cp:coreProperties>
</file>

<file path=docProps/custom.xml><?xml version="1.0" encoding="utf-8"?>
<Properties xmlns="http://schemas.openxmlformats.org/officeDocument/2006/custom-properties" xmlns:vt="http://schemas.openxmlformats.org/officeDocument/2006/docPropsVTypes"/>
</file>