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b/>
          <w:bCs/>
          <w:color w:val="9a3412"/>
          <w:sz w:val="52"/>
          <w:szCs w:val="52"/>
        </w:rPr>
        <w:t xml:space="preserve">Näyttösuunnitelma · Valokaari</w:t>
      </w:r>
    </w:p>
    <w:p>
      <w:pPr>
        <w:spacing w:after="60" w:before="0"/>
      </w:pPr>
      <w:r>
        <w:rPr>
          <w:sz w:val="23"/>
          <w:szCs w:val="23"/>
        </w:rPr>
        <w:t xml:space="preserve">Valokaari · Päivänvalon visualisointi Suomen paikkakunnille: PHP-rajapinta, React-käyttöliittymä ja julkaisu tuotantoon · 18 työviikkoa · päivätön aikataulu, luovutus 18. työviikon perjantai</w:t>
      </w:r>
    </w:p>
    <w:p>
      <w:pPr>
        <w:spacing w:after="300" w:before="0"/>
      </w:pPr>
      <w:r>
        <w:rPr>
          <w:color w:val="555555"/>
          <w:sz w:val="20"/>
          <w:szCs w:val="20"/>
        </w:rPr>
        <w:t xml:space="preserve">Opettajan lähdeaineisto. Vaatimukset on luettu sivuston näyttömatriisista, joten tämä asiakirja pysyy sivuston kanssa yhdenmukaisena. Peruste: Tieto- ja viestintätekniikan perustutkinto, diaarinumero OPH-6216-2025 (perusteId 9816282). Viikkorunko on hyväksytty pedagogisessa tarkistuksessa (Linnea-portti, kierros 2) ennen sisällön kirjoittamista.</w:t>
      </w:r>
    </w:p>
    <w:p>
      <w:pPr>
        <w:pStyle w:val="Heading1"/>
        <w:spacing w:before="320" w:after="160"/>
      </w:pPr>
      <w:r>
        <w:rPr>
          <w:b/>
          <w:bCs/>
          <w:color w:val="9a3412"/>
        </w:rPr>
        <w:t xml:space="preserve">1 · Näytön kohde ja ympäristö</w:t>
      </w:r>
    </w:p>
    <w:p>
      <w:pPr>
        <w:spacing w:after="120" w:before="0"/>
      </w:pPr>
      <w:r>
        <w:rPr>
          <w:sz w:val="21"/>
          <w:szCs w:val="21"/>
        </w:rPr>
        <w:t xml:space="preserve">Näyttö suoritetaan ohjattuna oppilaitosprojektina: opiskelija toteuttaa Lapin matkailuyritykselle selainsovelluksen, joka näyttää kaaviona päivän pituuden Suomen paikkakunnilla vuoden jokaisena päivänä, vertaa useita paikkoja, näyttää tooltipissa päivän ja keston, korostaa kaamoksen ja yöttömän yön ja merkitsee paikkojen leikkauspisteet. Toimeksiantaja Revontuli Travel on kuvitteellinen; ohjaaja toimii asiakkaan sijaisena rajausta ja priorisointia koskevissa päätöksissä.</w:t>
      </w:r>
    </w:p>
    <w:p>
      <w:pPr>
        <w:spacing w:after="120" w:before="0"/>
      </w:pPr>
      <w:r>
        <w:rPr>
          <w:sz w:val="21"/>
          <w:szCs w:val="21"/>
        </w:rPr>
        <w:t xml:space="preserve">Näyttö kattaa kolme tutkinnon osaa: Ohjelmointi (45 osp, 11 vaatimusta), Ohjelmistokehittäjänä toimiminen (45 osp, 14 vaatimusta) ja Ohjelmiston toteuttaminen ohjelmistokomponenttikirjastolla (30 osp, 7 vaatimusta). Yhteensä 32 osaamisvaatimusta.</w:t>
      </w:r>
    </w:p>
    <w:p>
      <w:pPr>
        <w:spacing w:after="120" w:before="0"/>
      </w:pPr>
      <w:r>
        <w:rPr>
          <w:sz w:val="21"/>
          <w:szCs w:val="21"/>
        </w:rPr>
        <w:t xml:space="preserve">Tekninen ympäristö: PHP 8.2+ ilman kehystä (backend, yksi rajapinta), React + TypeScript + Vite (frontend), Tailwind CSS työviikolta 7 ja opiskelijan valitsema kaaviokirjasto työviikolta 6. Kaaviokirjasto on ainoa valmis käyttöliittymäkomponentti; lomake ja paikkalista rakennetaan itse. Oletusjulkaisumalli on yksi PHP-palvelin, joka tarjoilee sekä buildatun sovelluksen että rajapinnan; build tehdään alustalla.</w:t>
      </w:r>
    </w:p>
    <w:p>
      <w:pPr>
        <w:spacing w:after="120" w:before="0"/>
      </w:pPr>
      <w:r>
        <w:rPr>
          <w:sz w:val="21"/>
          <w:szCs w:val="21"/>
        </w:rPr>
        <w:t xml:space="preserve">Aikataulu on päivätön: 18 työviikkoa opiskelijan omasta aloitusviikosta lukien. Viikkopalaveri ohjaajan kanssa työviikoilla 2–17, bug-issuet työviikolta 4, ominaisuushaarat ja pull requestit työviikolta 6.</w:t>
      </w:r>
    </w:p>
    <w:p>
      <w:pPr>
        <w:spacing w:after="120" w:before="0"/>
      </w:pPr>
      <w:r>
        <w:rPr>
          <w:b/>
          <w:bCs/>
          <w:sz w:val="21"/>
          <w:szCs w:val="21"/>
        </w:rPr>
        <w:t xml:space="preserve">Pakollinen perusversio (P0): paikkakunnan nimi koordinaateiksi · päivänvalo joka päivälle rajoissa 0–1440 min · karkausvuosi oikein · usea paikka samassa kaaviossa yhteisellä asteikolla · paikan poisto · selkeä virheilmoitus tuntemattomasta paikasta · tooltip (päivä, paikka, kesto) · kaamos ja yötön yö korostettuina. P1: leikkauspisteet, vuosivalinta, mobiili ja saavutettavuus.</w:t>
      </w:r>
    </w:p>
    <w:p>
      <w:pPr>
        <w:pStyle w:val="Heading1"/>
        <w:spacing w:before="320" w:after="160"/>
      </w:pPr>
      <w:r>
        <w:rPr>
          <w:b/>
          <w:bCs/>
          <w:color w:val="9a3412"/>
        </w:rPr>
        <w:t xml:space="preserve">2 · Roolit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c>
          <w:tcPr>
            <w:tcW w:type="dxa" w:w="2602"/>
            <w:shd w:fill="fef7f2" w:val="clear"/>
            <w:tcMar>
              <w:top w:type="dxa" w:w="60"/>
              <w:left w:type="dxa" w:w="100"/>
              <w:bottom w:type="dxa" w:w="60"/>
              <w:right w:type="dxa" w:w="100"/>
            </w:tcMar>
          </w:tcPr>
          <w:p>
            <w:pPr>
              <w:spacing w:after="0"/>
            </w:pPr>
            <w:r>
              <w:rPr>
                <w:b/>
                <w:bCs/>
                <w:sz w:val="19"/>
                <w:szCs w:val="19"/>
              </w:rPr>
              <w:t xml:space="preserve">Opiskelija</w:t>
            </w:r>
          </w:p>
        </w:tc>
        <w:tc>
          <w:tcPr>
            <w:tcW w:type="dxa" w:w="7036"/>
            <w:tcMar>
              <w:top w:type="dxa" w:w="60"/>
              <w:left w:type="dxa" w:w="100"/>
              <w:bottom w:type="dxa" w:w="60"/>
              <w:right w:type="dxa" w:w="100"/>
            </w:tcMar>
          </w:tcPr>
          <w:p>
            <w:pPr>
              <w:spacing w:after="0"/>
            </w:pPr>
            <w:r>
              <w:rPr>
                <w:sz w:val="19"/>
                <w:szCs w:val="19"/>
              </w:rPr>
              <w:t xml:space="preserve">Toteuttaa sovelluksen, tekee ja perustelee omat tekniset päätökset, kirjoittaa projektipäiväkirjaa ja AI-lokia sekä kokoaa näyttöaineiston. Vastaa siitä, että jokainen työnäyte löytyy repositorysta.</w:t>
            </w:r>
          </w:p>
        </w:tc>
      </w:tr>
      <w:tr>
        <w:tc>
          <w:tcPr>
            <w:tcW w:type="dxa" w:w="2602"/>
            <w:shd w:fill="fef7f2" w:val="clear"/>
            <w:tcMar>
              <w:top w:type="dxa" w:w="60"/>
              <w:left w:type="dxa" w:w="100"/>
              <w:bottom w:type="dxa" w:w="60"/>
              <w:right w:type="dxa" w:w="100"/>
            </w:tcMar>
          </w:tcPr>
          <w:p>
            <w:pPr>
              <w:spacing w:after="0"/>
            </w:pPr>
            <w:r>
              <w:rPr>
                <w:b/>
                <w:bCs/>
                <w:sz w:val="19"/>
                <w:szCs w:val="19"/>
              </w:rPr>
              <w:t xml:space="preserve">Ohjaaja / opettaja</w:t>
            </w:r>
          </w:p>
        </w:tc>
        <w:tc>
          <w:tcPr>
            <w:tcW w:type="dxa" w:w="7036"/>
            <w:tcMar>
              <w:top w:type="dxa" w:w="60"/>
              <w:left w:type="dxa" w:w="100"/>
              <w:bottom w:type="dxa" w:w="60"/>
              <w:right w:type="dxa" w:w="100"/>
            </w:tcMar>
          </w:tcPr>
          <w:p>
            <w:pPr>
              <w:spacing w:after="0"/>
            </w:pPr>
            <w:r>
              <w:rPr>
                <w:sz w:val="19"/>
                <w:szCs w:val="19"/>
              </w:rPr>
              <w:t xml:space="preserve">Toimii asiakkaan sijaisena: vastaanottaa kysymyslistan ja viikkopalaverien tilannekatsaukset ja tekee rajaus- ja priorisointipäätökset, valitsee ja kokeilee julkaisualustan ennen työviikkoa 1, pitää viikkopalaverit (10 min, voi olla 3–4 opiskelijan ryhmäkierros), tarjoaa kuntaluettelon varapolkuna työviikolle 5, tekee koodikatselmoinnin työviikolla 14, vastaa asiakaskysymyksellä työviikolla 17, kirjoittaa vastakommentin itsearviointiin työviikolla 18 ja päättää ohjaajalle kuuluvat asiat (lisenssi, repositoryn julkisuus, katselmoijien nimeäminen, perusteversio, arvioinnin järjestelyt).</w:t>
            </w:r>
          </w:p>
        </w:tc>
      </w:tr>
      <w:tr>
        <w:tc>
          <w:tcPr>
            <w:tcW w:type="dxa" w:w="2602"/>
            <w:shd w:fill="fef7f2" w:val="clear"/>
            <w:tcMar>
              <w:top w:type="dxa" w:w="60"/>
              <w:left w:type="dxa" w:w="100"/>
              <w:bottom w:type="dxa" w:w="60"/>
              <w:right w:type="dxa" w:w="100"/>
            </w:tcMar>
          </w:tcPr>
          <w:p>
            <w:pPr>
              <w:spacing w:after="0"/>
            </w:pPr>
            <w:r>
              <w:rPr>
                <w:b/>
                <w:bCs/>
                <w:sz w:val="19"/>
                <w:szCs w:val="19"/>
              </w:rPr>
              <w:t xml:space="preserve">Ulkopuolinen katselmoija (työviikko 10)</w:t>
            </w:r>
          </w:p>
        </w:tc>
        <w:tc>
          <w:tcPr>
            <w:tcW w:type="dxa" w:w="7036"/>
            <w:tcMar>
              <w:top w:type="dxa" w:w="60"/>
              <w:left w:type="dxa" w:w="100"/>
              <w:bottom w:type="dxa" w:w="60"/>
              <w:right w:type="dxa" w:w="100"/>
            </w:tcMar>
          </w:tcPr>
          <w:p>
            <w:pPr>
              <w:spacing w:after="0"/>
            </w:pPr>
            <w:r>
              <w:rPr>
                <w:sz w:val="19"/>
                <w:szCs w:val="19"/>
              </w:rPr>
              <w:t xml:space="preserve">Kokeilee väliversiota asiakkaan roolissa kolmen paikan testitehtävällä. Ei ole opiskelijan oma ohjaava opettaja: rooliin sopii työelämäedustaja, toinen opettaja tai toinen opiskelija. Nimeäminen viimeistään työviikolla 8.</w:t>
            </w:r>
          </w:p>
        </w:tc>
      </w:tr>
      <w:tr>
        <w:tc>
          <w:tcPr>
            <w:tcW w:type="dxa" w:w="2602"/>
            <w:shd w:fill="fef7f2" w:val="clear"/>
            <w:tcMar>
              <w:top w:type="dxa" w:w="60"/>
              <w:left w:type="dxa" w:w="100"/>
              <w:bottom w:type="dxa" w:w="60"/>
              <w:right w:type="dxa" w:w="100"/>
            </w:tcMar>
          </w:tcPr>
          <w:p>
            <w:pPr>
              <w:spacing w:after="0"/>
            </w:pPr>
            <w:r>
              <w:rPr>
                <w:b/>
                <w:bCs/>
                <w:sz w:val="19"/>
                <w:szCs w:val="19"/>
              </w:rPr>
              <w:t xml:space="preserve">Julkaisutestaaja (työviikko 16)</w:t>
            </w:r>
          </w:p>
        </w:tc>
        <w:tc>
          <w:tcPr>
            <w:tcW w:type="dxa" w:w="7036"/>
            <w:tcMar>
              <w:top w:type="dxa" w:w="60"/>
              <w:left w:type="dxa" w:w="100"/>
              <w:bottom w:type="dxa" w:w="60"/>
              <w:right w:type="dxa" w:w="100"/>
            </w:tcMar>
          </w:tcPr>
          <w:p>
            <w:pPr>
              <w:spacing w:after="0"/>
            </w:pPr>
            <w:r>
              <w:rPr>
                <w:sz w:val="19"/>
                <w:szCs w:val="19"/>
              </w:rPr>
              <w:t xml:space="preserve">Testaa julkaistun julkaisuehdokkaan pelkän README:n avulla ilman suullista apua: lisää paikkoja, vaihtaa vuoden, lukee tooltipin ja leikkauspisteen. Eri henkilö kuin työviikolla 10, jos mahdollista.</w:t>
            </w:r>
          </w:p>
        </w:tc>
      </w:tr>
      <w:tr>
        <w:tc>
          <w:tcPr>
            <w:tcW w:type="dxa" w:w="2602"/>
            <w:shd w:fill="fef7f2" w:val="clear"/>
            <w:tcMar>
              <w:top w:type="dxa" w:w="60"/>
              <w:left w:type="dxa" w:w="100"/>
              <w:bottom w:type="dxa" w:w="60"/>
              <w:right w:type="dxa" w:w="100"/>
            </w:tcMar>
          </w:tcPr>
          <w:p>
            <w:pPr>
              <w:spacing w:after="0"/>
            </w:pPr>
            <w:r>
              <w:rPr>
                <w:b/>
                <w:bCs/>
                <w:sz w:val="19"/>
                <w:szCs w:val="19"/>
              </w:rPr>
              <w:t xml:space="preserve">Arvioijat (työviikko 18)</w:t>
            </w:r>
          </w:p>
        </w:tc>
        <w:tc>
          <w:tcPr>
            <w:tcW w:type="dxa" w:w="7036"/>
            <w:tcMar>
              <w:top w:type="dxa" w:w="60"/>
              <w:left w:type="dxa" w:w="100"/>
              <w:bottom w:type="dxa" w:w="60"/>
              <w:right w:type="dxa" w:w="100"/>
            </w:tcMar>
          </w:tcPr>
          <w:p>
            <w:pPr>
              <w:spacing w:after="0"/>
            </w:pPr>
            <w:r>
              <w:rPr>
                <w:sz w:val="19"/>
                <w:szCs w:val="19"/>
              </w:rPr>
              <w:t xml:space="preserve">Ottavat vastaan demon ja näyttöaineiston. Arvioinnin ajankohta ja arvioijat sovitaan ohjaajan kanssa.</w:t>
            </w:r>
          </w:p>
        </w:tc>
      </w:tr>
    </w:tbl>
    <w:p>
      <w:pPr>
        <w:pStyle w:val="Heading1"/>
        <w:spacing w:before="320" w:after="160"/>
      </w:pPr>
      <w:r>
        <w:rPr>
          <w:b/>
          <w:bCs/>
          <w:color w:val="9a3412"/>
        </w:rPr>
        <w:t xml:space="preserve">3 · Laadun tarkistuspisteet</w:t>
      </w:r>
    </w:p>
    <w:p>
      <w:pPr>
        <w:spacing w:after="120" w:before="0"/>
      </w:pPr>
      <w:r>
        <w:rPr>
          <w:sz w:val="21"/>
          <w:szCs w:val="21"/>
        </w:rPr>
        <w:t xml:space="preserve">Opettaja tarkistaa laadun ja antaa palautteen näissä kohdissa. Muut viikot opiskelija työskentelee itsenäisesti sivuston ohjeilla.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181"/>
        <w:gridCol w:w="5011"/>
      </w:tblGrid>
      <w:tr>
        <w:trPr>
          <w:tblHeader/>
        </w:trPr>
        <w:tc>
          <w:tcPr>
            <w:tcW w:type="dxa" w:w="1446"/>
            <w:shd w:fill="fdece3" w:val="clear"/>
            <w:tcMar>
              <w:top w:type="dxa" w:w="60"/>
              <w:left w:type="dxa" w:w="100"/>
              <w:bottom w:type="dxa" w:w="60"/>
              <w:right w:type="dxa" w:w="100"/>
            </w:tcMar>
          </w:tcPr>
          <w:p>
            <w:pPr>
              <w:spacing w:after="0"/>
            </w:pPr>
            <w:r>
              <w:rPr>
                <w:b/>
                <w:bCs/>
                <w:sz w:val="19"/>
                <w:szCs w:val="19"/>
              </w:rPr>
              <w:t xml:space="preserve">Viikko</w:t>
            </w:r>
          </w:p>
        </w:tc>
        <w:tc>
          <w:tcPr>
            <w:tcW w:type="dxa" w:w="3181"/>
            <w:shd w:fill="fdece3" w:val="clear"/>
            <w:tcMar>
              <w:top w:type="dxa" w:w="60"/>
              <w:left w:type="dxa" w:w="100"/>
              <w:bottom w:type="dxa" w:w="60"/>
              <w:right w:type="dxa" w:w="100"/>
            </w:tcMar>
          </w:tcPr>
          <w:p>
            <w:pPr>
              <w:spacing w:after="0"/>
            </w:pPr>
            <w:r>
              <w:rPr>
                <w:b/>
                <w:bCs/>
                <w:sz w:val="19"/>
                <w:szCs w:val="19"/>
              </w:rPr>
              <w:t xml:space="preserve">Tarkistuspiste</w:t>
            </w:r>
          </w:p>
        </w:tc>
        <w:tc>
          <w:tcPr>
            <w:tcW w:type="dxa" w:w="5011"/>
            <w:shd w:fill="fdece3" w:val="clear"/>
            <w:tcMar>
              <w:top w:type="dxa" w:w="60"/>
              <w:left w:type="dxa" w:w="100"/>
              <w:bottom w:type="dxa" w:w="60"/>
              <w:right w:type="dxa" w:w="100"/>
            </w:tcMar>
          </w:tcPr>
          <w:p>
            <w:pPr>
              <w:spacing w:after="0"/>
            </w:pPr>
            <w:r>
              <w:rPr>
                <w:b/>
                <w:bCs/>
                <w:sz w:val="19"/>
                <w:szCs w:val="19"/>
              </w:rPr>
              <w:t xml:space="preserve">Mitä tarkistetaan</w:t>
            </w:r>
          </w:p>
        </w:tc>
      </w:tr>
      <w:tr>
        <w:tc>
          <w:tcPr>
            <w:tcW w:type="dxa" w:w="1446"/>
            <w:tcMar>
              <w:top w:type="dxa" w:w="60"/>
              <w:left w:type="dxa" w:w="100"/>
              <w:bottom w:type="dxa" w:w="60"/>
              <w:right w:type="dxa" w:w="100"/>
            </w:tcMar>
          </w:tcPr>
          <w:p>
            <w:pPr>
              <w:spacing w:after="0"/>
            </w:pPr>
            <w:r>
              <w:rPr>
                <w:sz w:val="19"/>
                <w:szCs w:val="19"/>
              </w:rPr>
              <w:t xml:space="preserve">1</w:t>
            </w:r>
          </w:p>
        </w:tc>
        <w:tc>
          <w:tcPr>
            <w:tcW w:type="dxa" w:w="3181"/>
            <w:tcMar>
              <w:top w:type="dxa" w:w="60"/>
              <w:left w:type="dxa" w:w="100"/>
              <w:bottom w:type="dxa" w:w="60"/>
              <w:right w:type="dxa" w:w="100"/>
            </w:tcMar>
          </w:tcPr>
          <w:p>
            <w:pPr>
              <w:spacing w:after="0"/>
            </w:pPr>
            <w:r>
              <w:rPr>
                <w:sz w:val="19"/>
                <w:szCs w:val="19"/>
              </w:rPr>
              <w:t xml:space="preserve">Ympäristö ja repository</w:t>
            </w:r>
          </w:p>
        </w:tc>
        <w:tc>
          <w:tcPr>
            <w:tcW w:type="dxa" w:w="5011"/>
            <w:tcMar>
              <w:top w:type="dxa" w:w="60"/>
              <w:left w:type="dxa" w:w="100"/>
              <w:bottom w:type="dxa" w:w="60"/>
              <w:right w:type="dxa" w:w="100"/>
            </w:tcMar>
          </w:tcPr>
          <w:p>
            <w:pPr>
              <w:spacing w:after="0"/>
            </w:pPr>
            <w:r>
              <w:rPr>
                <w:sz w:val="19"/>
                <w:szCs w:val="19"/>
              </w:rPr>
              <w:t xml:space="preserve">Käynnistyvä React + Vite -runko ja PHP:n index.php, README käynnistyskomennoilla, julkisen repon tarkistuslista kuitattuna, ohjaaja yhteistyökumppanina (collaborator), vähintään kuusi kysymystä ohjaajalle, toinen henkilö sai rungon käyntiin.</w:t>
            </w:r>
          </w:p>
        </w:tc>
      </w:tr>
      <w:tr>
        <w:tc>
          <w:tcPr>
            <w:tcW w:type="dxa" w:w="1446"/>
            <w:tcMar>
              <w:top w:type="dxa" w:w="60"/>
              <w:left w:type="dxa" w:w="100"/>
              <w:bottom w:type="dxa" w:w="60"/>
              <w:right w:type="dxa" w:w="100"/>
            </w:tcMar>
          </w:tcPr>
          <w:p>
            <w:pPr>
              <w:spacing w:after="0"/>
            </w:pPr>
            <w:r>
              <w:rPr>
                <w:sz w:val="19"/>
                <w:szCs w:val="19"/>
              </w:rPr>
              <w:t xml:space="preserve">2</w:t>
            </w:r>
          </w:p>
        </w:tc>
        <w:tc>
          <w:tcPr>
            <w:tcW w:type="dxa" w:w="3181"/>
            <w:tcMar>
              <w:top w:type="dxa" w:w="60"/>
              <w:left w:type="dxa" w:w="100"/>
              <w:bottom w:type="dxa" w:w="60"/>
              <w:right w:type="dxa" w:w="100"/>
            </w:tcMar>
          </w:tcPr>
          <w:p>
            <w:pPr>
              <w:spacing w:after="0"/>
            </w:pPr>
            <w:r>
              <w:rPr>
                <w:sz w:val="19"/>
                <w:szCs w:val="19"/>
              </w:rPr>
              <w:t xml:space="preserve">Suunnitelman hyväksyntä</w:t>
            </w:r>
          </w:p>
        </w:tc>
        <w:tc>
          <w:tcPr>
            <w:tcW w:type="dxa" w:w="5011"/>
            <w:tcMar>
              <w:top w:type="dxa" w:w="60"/>
              <w:left w:type="dxa" w:w="100"/>
              <w:bottom w:type="dxa" w:w="60"/>
              <w:right w:type="dxa" w:w="100"/>
            </w:tcMar>
          </w:tcPr>
          <w:p>
            <w:pPr>
              <w:spacing w:after="0"/>
            </w:pPr>
            <w:r>
              <w:rPr>
                <w:sz w:val="19"/>
                <w:szCs w:val="19"/>
              </w:rPr>
              <w:t xml:space="preserve">Ohjaajan vastaukset kirjattuina, P0/P1/P2-priorisointi, laskentatapavertailu omalla koeajolla, paikkakuntatiedon muodon vertailu, rautalangat, komponenttijako ja issue-taulu arvioineen. Hyväksyntä kirjataan ennen työviikkoa 3.</w:t>
            </w:r>
          </w:p>
        </w:tc>
      </w:tr>
      <w:tr>
        <w:tc>
          <w:tcPr>
            <w:tcW w:type="dxa" w:w="1446"/>
            <w:tcMar>
              <w:top w:type="dxa" w:w="60"/>
              <w:left w:type="dxa" w:w="100"/>
              <w:bottom w:type="dxa" w:w="60"/>
              <w:right w:type="dxa" w:w="100"/>
            </w:tcMar>
          </w:tcPr>
          <w:p>
            <w:pPr>
              <w:spacing w:after="0"/>
            </w:pPr>
            <w:r>
              <w:rPr>
                <w:sz w:val="19"/>
                <w:szCs w:val="19"/>
              </w:rPr>
              <w:t xml:space="preserve">3</w:t>
            </w:r>
          </w:p>
        </w:tc>
        <w:tc>
          <w:tcPr>
            <w:tcW w:type="dxa" w:w="3181"/>
            <w:tcMar>
              <w:top w:type="dxa" w:w="60"/>
              <w:left w:type="dxa" w:w="100"/>
              <w:bottom w:type="dxa" w:w="60"/>
              <w:right w:type="dxa" w:w="100"/>
            </w:tcMar>
          </w:tcPr>
          <w:p>
            <w:pPr>
              <w:spacing w:after="0"/>
            </w:pPr>
            <w:r>
              <w:rPr>
                <w:sz w:val="19"/>
                <w:szCs w:val="19"/>
              </w:rPr>
              <w:t xml:space="preserve">Ensimmäinen julkaisu</w:t>
            </w:r>
          </w:p>
        </w:tc>
        <w:tc>
          <w:tcPr>
            <w:tcW w:type="dxa" w:w="5011"/>
            <w:tcMar>
              <w:top w:type="dxa" w:w="60"/>
              <w:left w:type="dxa" w:w="100"/>
              <w:bottom w:type="dxa" w:w="60"/>
              <w:right w:type="dxa" w:w="100"/>
            </w:tcMar>
          </w:tcPr>
          <w:p>
            <w:pPr>
              <w:spacing w:after="0"/>
            </w:pPr>
            <w:r>
              <w:rPr>
                <w:sz w:val="19"/>
                <w:szCs w:val="19"/>
              </w:rPr>
              <w:t xml:space="preserve">Sovellus ja /api/health julkisessa osoitteessa toisen henkilön laitteella, HealthStatus-komponentti, proxy, api-sopimus.md ja selvitystaulukko repossa, build alustalla ja dist gitignoressa. Varapolku käytössä, jos julkaisu jumitti.</w:t>
            </w:r>
          </w:p>
        </w:tc>
      </w:tr>
      <w:tr>
        <w:tc>
          <w:tcPr>
            <w:tcW w:type="dxa" w:w="1446"/>
            <w:tcMar>
              <w:top w:type="dxa" w:w="60"/>
              <w:left w:type="dxa" w:w="100"/>
              <w:bottom w:type="dxa" w:w="60"/>
              <w:right w:type="dxa" w:w="100"/>
            </w:tcMar>
          </w:tcPr>
          <w:p>
            <w:pPr>
              <w:spacing w:after="0"/>
            </w:pPr>
            <w:r>
              <w:rPr>
                <w:sz w:val="19"/>
                <w:szCs w:val="19"/>
              </w:rPr>
              <w:t xml:space="preserve">4</w:t>
            </w:r>
          </w:p>
        </w:tc>
        <w:tc>
          <w:tcPr>
            <w:tcW w:type="dxa" w:w="3181"/>
            <w:tcMar>
              <w:top w:type="dxa" w:w="60"/>
              <w:left w:type="dxa" w:w="100"/>
              <w:bottom w:type="dxa" w:w="60"/>
              <w:right w:type="dxa" w:w="100"/>
            </w:tcMar>
          </w:tcPr>
          <w:p>
            <w:pPr>
              <w:spacing w:after="0"/>
            </w:pPr>
            <w:r>
              <w:rPr>
                <w:sz w:val="19"/>
                <w:szCs w:val="19"/>
              </w:rPr>
              <w:t xml:space="preserve">Päivänvalolaskenta</w:t>
            </w:r>
          </w:p>
        </w:tc>
        <w:tc>
          <w:tcPr>
            <w:tcW w:type="dxa" w:w="5011"/>
            <w:tcMar>
              <w:top w:type="dxa" w:w="60"/>
              <w:left w:type="dxa" w:w="100"/>
              <w:bottom w:type="dxa" w:w="60"/>
              <w:right w:type="dxa" w:w="100"/>
            </w:tcMar>
          </w:tcPr>
          <w:p>
            <w:pPr>
              <w:spacing w:after="0"/>
            </w:pPr>
            <w:r>
              <w:rPr>
                <w:sz w:val="19"/>
                <w:szCs w:val="19"/>
              </w:rPr>
              <w:t xml:space="preserve">T01–T04 läpi komennolla, odotusarvot ulkoisesta lähteestä, rajat 0–1440, karkausvuosi 366, vertailu date_sun_info-referenssiin, bug-issuet ansoista.</w:t>
            </w:r>
          </w:p>
        </w:tc>
      </w:tr>
      <w:tr>
        <w:tc>
          <w:tcPr>
            <w:tcW w:type="dxa" w:w="1446"/>
            <w:tcMar>
              <w:top w:type="dxa" w:w="60"/>
              <w:left w:type="dxa" w:w="100"/>
              <w:bottom w:type="dxa" w:w="60"/>
              <w:right w:type="dxa" w:w="100"/>
            </w:tcMar>
          </w:tcPr>
          <w:p>
            <w:pPr>
              <w:spacing w:after="0"/>
            </w:pPr>
            <w:r>
              <w:rPr>
                <w:sz w:val="19"/>
                <w:szCs w:val="19"/>
              </w:rPr>
              <w:t xml:space="preserve">5</w:t>
            </w:r>
          </w:p>
        </w:tc>
        <w:tc>
          <w:tcPr>
            <w:tcW w:type="dxa" w:w="3181"/>
            <w:tcMar>
              <w:top w:type="dxa" w:w="60"/>
              <w:left w:type="dxa" w:w="100"/>
              <w:bottom w:type="dxa" w:w="60"/>
              <w:right w:type="dxa" w:w="100"/>
            </w:tcMar>
          </w:tcPr>
          <w:p>
            <w:pPr>
              <w:spacing w:after="0"/>
            </w:pPr>
            <w:r>
              <w:rPr>
                <w:sz w:val="19"/>
                <w:szCs w:val="19"/>
              </w:rPr>
              <w:t xml:space="preserve">Rajapinta</w:t>
            </w:r>
          </w:p>
        </w:tc>
        <w:tc>
          <w:tcPr>
            <w:tcW w:type="dxa" w:w="5011"/>
            <w:tcMar>
              <w:top w:type="dxa" w:w="60"/>
              <w:left w:type="dxa" w:w="100"/>
              <w:bottom w:type="dxa" w:w="60"/>
              <w:right w:type="dxa" w:w="100"/>
            </w:tcMar>
          </w:tcPr>
          <w:p>
            <w:pPr>
              <w:spacing w:after="0"/>
            </w:pPr>
            <w:r>
              <w:rPr>
                <w:sz w:val="19"/>
                <w:szCs w:val="19"/>
              </w:rPr>
              <w:t xml:space="preserve">T05–T07 curlilla, normalisointi toimii, validointi 400/404 JSONina, tietolähteen lisenssi README:ssä.</w:t>
            </w:r>
          </w:p>
        </w:tc>
      </w:tr>
      <w:tr>
        <w:tc>
          <w:tcPr>
            <w:tcW w:type="dxa" w:w="1446"/>
            <w:tcMar>
              <w:top w:type="dxa" w:w="60"/>
              <w:left w:type="dxa" w:w="100"/>
              <w:bottom w:type="dxa" w:w="60"/>
              <w:right w:type="dxa" w:w="100"/>
            </w:tcMar>
          </w:tcPr>
          <w:p>
            <w:pPr>
              <w:spacing w:after="0"/>
            </w:pPr>
            <w:r>
              <w:rPr>
                <w:sz w:val="19"/>
                <w:szCs w:val="19"/>
              </w:rPr>
              <w:t xml:space="preserve">7</w:t>
            </w:r>
          </w:p>
        </w:tc>
        <w:tc>
          <w:tcPr>
            <w:tcW w:type="dxa" w:w="3181"/>
            <w:tcMar>
              <w:top w:type="dxa" w:w="60"/>
              <w:left w:type="dxa" w:w="100"/>
              <w:bottom w:type="dxa" w:w="60"/>
              <w:right w:type="dxa" w:w="100"/>
            </w:tcMar>
          </w:tcPr>
          <w:p>
            <w:pPr>
              <w:spacing w:after="0"/>
            </w:pPr>
            <w:r>
              <w:rPr>
                <w:sz w:val="19"/>
                <w:szCs w:val="19"/>
              </w:rPr>
              <w:t xml:space="preserve">Itse rakennettu näkymä</w:t>
            </w:r>
          </w:p>
        </w:tc>
        <w:tc>
          <w:tcPr>
            <w:tcW w:type="dxa" w:w="5011"/>
            <w:tcMar>
              <w:top w:type="dxa" w:w="60"/>
              <w:left w:type="dxa" w:w="100"/>
              <w:bottom w:type="dxa" w:w="60"/>
              <w:right w:type="dxa" w:w="100"/>
            </w:tcMar>
          </w:tcPr>
          <w:p>
            <w:pPr>
              <w:spacing w:after="0"/>
            </w:pPr>
            <w:r>
              <w:rPr>
                <w:sz w:val="19"/>
                <w:szCs w:val="19"/>
              </w:rPr>
              <w:t xml:space="preserve">Neljä paikkaa samassa kaaviossa yhteisellä asteikolla (T08), duplikaatti hylätään (T09), Tailwind perusteltuna, arvio vs. toteuma -taulukko viikkopalaverien kirjauksista.</w:t>
            </w:r>
          </w:p>
        </w:tc>
      </w:tr>
      <w:tr>
        <w:tc>
          <w:tcPr>
            <w:tcW w:type="dxa" w:w="1446"/>
            <w:tcMar>
              <w:top w:type="dxa" w:w="60"/>
              <w:left w:type="dxa" w:w="100"/>
              <w:bottom w:type="dxa" w:w="60"/>
              <w:right w:type="dxa" w:w="100"/>
            </w:tcMar>
          </w:tcPr>
          <w:p>
            <w:pPr>
              <w:spacing w:after="0"/>
            </w:pPr>
            <w:r>
              <w:rPr>
                <w:sz w:val="19"/>
                <w:szCs w:val="19"/>
              </w:rPr>
              <w:t xml:space="preserve">9</w:t>
            </w:r>
          </w:p>
        </w:tc>
        <w:tc>
          <w:tcPr>
            <w:tcW w:type="dxa" w:w="3181"/>
            <w:tcMar>
              <w:top w:type="dxa" w:w="60"/>
              <w:left w:type="dxa" w:w="100"/>
              <w:bottom w:type="dxa" w:w="60"/>
              <w:right w:type="dxa" w:w="100"/>
            </w:tcMar>
          </w:tcPr>
          <w:p>
            <w:pPr>
              <w:spacing w:after="0"/>
            </w:pPr>
            <w:r>
              <w:rPr>
                <w:sz w:val="19"/>
                <w:szCs w:val="19"/>
              </w:rPr>
              <w:t xml:space="preserve">Leikkauspisteet</w:t>
            </w:r>
          </w:p>
        </w:tc>
        <w:tc>
          <w:tcPr>
            <w:tcW w:type="dxa" w:w="5011"/>
            <w:tcMar>
              <w:top w:type="dxa" w:w="60"/>
              <w:left w:type="dxa" w:w="100"/>
              <w:bottom w:type="dxa" w:w="60"/>
              <w:right w:type="dxa" w:w="100"/>
            </w:tcMar>
          </w:tcPr>
          <w:p>
            <w:pPr>
              <w:spacing w:after="0"/>
            </w:pPr>
            <w:r>
              <w:rPr>
                <w:sz w:val="19"/>
                <w:szCs w:val="19"/>
              </w:rPr>
              <w:t xml:space="preserve">Määritelmä ja toleranssi suunnitelmassa, T12–T13 läpi, merkit kaaviossa omalla tooltipilla.</w:t>
            </w:r>
          </w:p>
        </w:tc>
      </w:tr>
      <w:tr>
        <w:tc>
          <w:tcPr>
            <w:tcW w:type="dxa" w:w="1446"/>
            <w:tcMar>
              <w:top w:type="dxa" w:w="60"/>
              <w:left w:type="dxa" w:w="100"/>
              <w:bottom w:type="dxa" w:w="60"/>
              <w:right w:type="dxa" w:w="100"/>
            </w:tcMar>
          </w:tcPr>
          <w:p>
            <w:pPr>
              <w:spacing w:after="0"/>
            </w:pPr>
            <w:r>
              <w:rPr>
                <w:sz w:val="19"/>
                <w:szCs w:val="19"/>
              </w:rPr>
              <w:t xml:space="preserve">10</w:t>
            </w:r>
          </w:p>
        </w:tc>
        <w:tc>
          <w:tcPr>
            <w:tcW w:type="dxa" w:w="3181"/>
            <w:tcMar>
              <w:top w:type="dxa" w:w="60"/>
              <w:left w:type="dxa" w:w="100"/>
              <w:bottom w:type="dxa" w:w="60"/>
              <w:right w:type="dxa" w:w="100"/>
            </w:tcMar>
          </w:tcPr>
          <w:p>
            <w:pPr>
              <w:spacing w:after="0"/>
            </w:pPr>
            <w:r>
              <w:rPr>
                <w:sz w:val="19"/>
                <w:szCs w:val="19"/>
              </w:rPr>
              <w:t xml:space="preserve">Asiakaskatselmointi</w:t>
            </w:r>
          </w:p>
        </w:tc>
        <w:tc>
          <w:tcPr>
            <w:tcW w:type="dxa" w:w="5011"/>
            <w:tcMar>
              <w:top w:type="dxa" w:w="60"/>
              <w:left w:type="dxa" w:w="100"/>
              <w:bottom w:type="dxa" w:w="60"/>
              <w:right w:type="dxa" w:w="100"/>
            </w:tcMar>
          </w:tcPr>
          <w:p>
            <w:pPr>
              <w:spacing w:after="0"/>
            </w:pPr>
            <w:r>
              <w:rPr>
                <w:sz w:val="19"/>
                <w:szCs w:val="19"/>
              </w:rPr>
              <w:t xml:space="preserve">Katselmointimuistio sitaatteineen, tulkinta erikseen, priorisoidut muutokset issueina, tärkein muutos rajattu enintään kahden päivän työksi.</w:t>
            </w:r>
          </w:p>
        </w:tc>
      </w:tr>
      <w:tr>
        <w:tc>
          <w:tcPr>
            <w:tcW w:type="dxa" w:w="1446"/>
            <w:tcMar>
              <w:top w:type="dxa" w:w="60"/>
              <w:left w:type="dxa" w:w="100"/>
              <w:bottom w:type="dxa" w:w="60"/>
              <w:right w:type="dxa" w:w="100"/>
            </w:tcMar>
          </w:tcPr>
          <w:p>
            <w:pPr>
              <w:spacing w:after="0"/>
            </w:pPr>
            <w:r>
              <w:rPr>
                <w:sz w:val="19"/>
                <w:szCs w:val="19"/>
              </w:rPr>
              <w:t xml:space="preserve">11</w:t>
            </w:r>
          </w:p>
        </w:tc>
        <w:tc>
          <w:tcPr>
            <w:tcW w:type="dxa" w:w="3181"/>
            <w:tcMar>
              <w:top w:type="dxa" w:w="60"/>
              <w:left w:type="dxa" w:w="100"/>
              <w:bottom w:type="dxa" w:w="60"/>
              <w:right w:type="dxa" w:w="100"/>
            </w:tcMar>
          </w:tcPr>
          <w:p>
            <w:pPr>
              <w:spacing w:after="0"/>
            </w:pPr>
            <w:r>
              <w:rPr>
                <w:sz w:val="19"/>
                <w:szCs w:val="19"/>
              </w:rPr>
              <w:t xml:space="preserve">Konflikti ja vuosivalinta</w:t>
            </w:r>
          </w:p>
        </w:tc>
        <w:tc>
          <w:tcPr>
            <w:tcW w:type="dxa" w:w="5011"/>
            <w:tcMar>
              <w:top w:type="dxa" w:w="60"/>
              <w:left w:type="dxa" w:w="100"/>
              <w:bottom w:type="dxa" w:w="60"/>
              <w:right w:type="dxa" w:w="100"/>
            </w:tcMar>
          </w:tcPr>
          <w:p>
            <w:pPr>
              <w:spacing w:after="0"/>
            </w:pPr>
            <w:r>
              <w:rPr>
                <w:sz w:val="19"/>
                <w:szCs w:val="19"/>
              </w:rPr>
              <w:t xml:space="preserve">Kaksi pull requestia, konfliktin ratkaisucommit historiassa (tai ohjaajan varareitti), T14: 2028 → 366 pistettä tuotannossa.</w:t>
            </w:r>
          </w:p>
        </w:tc>
      </w:tr>
      <w:tr>
        <w:tc>
          <w:tcPr>
            <w:tcW w:type="dxa" w:w="1446"/>
            <w:tcMar>
              <w:top w:type="dxa" w:w="60"/>
              <w:left w:type="dxa" w:w="100"/>
              <w:bottom w:type="dxa" w:w="60"/>
              <w:right w:type="dxa" w:w="100"/>
            </w:tcMar>
          </w:tcPr>
          <w:p>
            <w:pPr>
              <w:spacing w:after="0"/>
            </w:pPr>
            <w:r>
              <w:rPr>
                <w:sz w:val="19"/>
                <w:szCs w:val="19"/>
              </w:rPr>
              <w:t xml:space="preserve">13</w:t>
            </w:r>
          </w:p>
        </w:tc>
        <w:tc>
          <w:tcPr>
            <w:tcW w:type="dxa" w:w="3181"/>
            <w:tcMar>
              <w:top w:type="dxa" w:w="60"/>
              <w:left w:type="dxa" w:w="100"/>
              <w:bottom w:type="dxa" w:w="60"/>
              <w:right w:type="dxa" w:w="100"/>
            </w:tcMar>
          </w:tcPr>
          <w:p>
            <w:pPr>
              <w:spacing w:after="0"/>
            </w:pPr>
            <w:r>
              <w:rPr>
                <w:sz w:val="19"/>
                <w:szCs w:val="19"/>
              </w:rPr>
              <w:t xml:space="preserve">Tietoturva-arvio</w:t>
            </w:r>
          </w:p>
        </w:tc>
        <w:tc>
          <w:tcPr>
            <w:tcW w:type="dxa" w:w="5011"/>
            <w:tcMar>
              <w:top w:type="dxa" w:w="60"/>
              <w:left w:type="dxa" w:w="100"/>
              <w:bottom w:type="dxa" w:w="60"/>
              <w:right w:type="dxa" w:w="100"/>
            </w:tcMar>
          </w:tcPr>
          <w:p>
            <w:pPr>
              <w:spacing w:after="0"/>
            </w:pPr>
            <w:r>
              <w:rPr>
                <w:sz w:val="19"/>
                <w:szCs w:val="19"/>
              </w:rPr>
              <w:t xml:space="preserve">Uhkalista 5–8 riviä omasta sovelluksesta, T15 ajettu curlilla, XSS-testi, Promise.allSettled, salaisuustarkistus.</w:t>
            </w:r>
          </w:p>
        </w:tc>
      </w:tr>
      <w:tr>
        <w:tc>
          <w:tcPr>
            <w:tcW w:type="dxa" w:w="1446"/>
            <w:tcMar>
              <w:top w:type="dxa" w:w="60"/>
              <w:left w:type="dxa" w:w="100"/>
              <w:bottom w:type="dxa" w:w="60"/>
              <w:right w:type="dxa" w:w="100"/>
            </w:tcMar>
          </w:tcPr>
          <w:p>
            <w:pPr>
              <w:spacing w:after="0"/>
            </w:pPr>
            <w:r>
              <w:rPr>
                <w:sz w:val="19"/>
                <w:szCs w:val="19"/>
              </w:rPr>
              <w:t xml:space="preserve">14</w:t>
            </w:r>
          </w:p>
        </w:tc>
        <w:tc>
          <w:tcPr>
            <w:tcW w:type="dxa" w:w="3181"/>
            <w:tcMar>
              <w:top w:type="dxa" w:w="60"/>
              <w:left w:type="dxa" w:w="100"/>
              <w:bottom w:type="dxa" w:w="60"/>
              <w:right w:type="dxa" w:w="100"/>
            </w:tcMar>
          </w:tcPr>
          <w:p>
            <w:pPr>
              <w:spacing w:after="0"/>
            </w:pPr>
            <w:r>
              <w:rPr>
                <w:sz w:val="19"/>
                <w:szCs w:val="19"/>
              </w:rPr>
              <w:t xml:space="preserve">Testaus</w:t>
            </w:r>
          </w:p>
        </w:tc>
        <w:tc>
          <w:tcPr>
            <w:tcW w:type="dxa" w:w="5011"/>
            <w:tcMar>
              <w:top w:type="dxa" w:w="60"/>
              <w:left w:type="dxa" w:w="100"/>
              <w:bottom w:type="dxa" w:w="60"/>
              <w:right w:type="dxa" w:w="100"/>
            </w:tcMar>
          </w:tcPr>
          <w:p>
            <w:pPr>
              <w:spacing w:after="0"/>
            </w:pPr>
            <w:r>
              <w:rPr>
                <w:sz w:val="19"/>
                <w:szCs w:val="19"/>
              </w:rPr>
              <w:t xml:space="preserve">16 testitapausta kolmessa luokassa odotusarvoin ennen ajoa, ajettavat ja käsin ajettavat eroteltu, kaksi täydellistä ketjua bug-listalta. Ohjaajan koodikatselmointi tehdään tämän viikon aikana.</w:t>
            </w:r>
          </w:p>
        </w:tc>
      </w:tr>
      <w:tr>
        <w:tc>
          <w:tcPr>
            <w:tcW w:type="dxa" w:w="1446"/>
            <w:tcMar>
              <w:top w:type="dxa" w:w="60"/>
              <w:left w:type="dxa" w:w="100"/>
              <w:bottom w:type="dxa" w:w="60"/>
              <w:right w:type="dxa" w:w="100"/>
            </w:tcMar>
          </w:tcPr>
          <w:p>
            <w:pPr>
              <w:spacing w:after="0"/>
            </w:pPr>
            <w:r>
              <w:rPr>
                <w:sz w:val="19"/>
                <w:szCs w:val="19"/>
              </w:rPr>
              <w:t xml:space="preserve">16</w:t>
            </w:r>
          </w:p>
        </w:tc>
        <w:tc>
          <w:tcPr>
            <w:tcW w:type="dxa" w:w="3181"/>
            <w:tcMar>
              <w:top w:type="dxa" w:w="60"/>
              <w:left w:type="dxa" w:w="100"/>
              <w:bottom w:type="dxa" w:w="60"/>
              <w:right w:type="dxa" w:w="100"/>
            </w:tcMar>
          </w:tcPr>
          <w:p>
            <w:pPr>
              <w:spacing w:after="0"/>
            </w:pPr>
            <w:r>
              <w:rPr>
                <w:sz w:val="19"/>
                <w:szCs w:val="19"/>
              </w:rPr>
              <w:t xml:space="preserve">Julkaisuehdokas ja julkaisutestaus</w:t>
            </w:r>
          </w:p>
        </w:tc>
        <w:tc>
          <w:tcPr>
            <w:tcW w:type="dxa" w:w="5011"/>
            <w:tcMar>
              <w:top w:type="dxa" w:w="60"/>
              <w:left w:type="dxa" w:w="100"/>
              <w:bottom w:type="dxa" w:w="60"/>
              <w:right w:type="dxa" w:w="100"/>
            </w:tcMar>
          </w:tcPr>
          <w:p>
            <w:pPr>
              <w:spacing w:after="0"/>
            </w:pPr>
            <w:r>
              <w:rPr>
                <w:sz w:val="19"/>
                <w:szCs w:val="19"/>
              </w:rPr>
              <w:t xml:space="preserve">v1.0-rc1 tagilla ja julkisessa osoitteessa, oma asennuspöytäkirja, ulkopuolisen testauspöytäkirja, estävät issueina.</w:t>
            </w:r>
          </w:p>
        </w:tc>
      </w:tr>
      <w:tr>
        <w:tc>
          <w:tcPr>
            <w:tcW w:type="dxa" w:w="1446"/>
            <w:tcMar>
              <w:top w:type="dxa" w:w="60"/>
              <w:left w:type="dxa" w:w="100"/>
              <w:bottom w:type="dxa" w:w="60"/>
              <w:right w:type="dxa" w:w="100"/>
            </w:tcMar>
          </w:tcPr>
          <w:p>
            <w:pPr>
              <w:spacing w:after="0"/>
            </w:pPr>
            <w:r>
              <w:rPr>
                <w:sz w:val="19"/>
                <w:szCs w:val="19"/>
              </w:rPr>
              <w:t xml:space="preserve">17</w:t>
            </w:r>
          </w:p>
        </w:tc>
        <w:tc>
          <w:tcPr>
            <w:tcW w:type="dxa" w:w="3181"/>
            <w:tcMar>
              <w:top w:type="dxa" w:w="60"/>
              <w:left w:type="dxa" w:w="100"/>
              <w:bottom w:type="dxa" w:w="60"/>
              <w:right w:type="dxa" w:w="100"/>
            </w:tcMar>
          </w:tcPr>
          <w:p>
            <w:pPr>
              <w:spacing w:after="0"/>
            </w:pPr>
            <w:r>
              <w:rPr>
                <w:sz w:val="19"/>
                <w:szCs w:val="19"/>
              </w:rPr>
              <w:t xml:space="preserve">v1.0 ja luovutus</w:t>
            </w:r>
          </w:p>
        </w:tc>
        <w:tc>
          <w:tcPr>
            <w:tcW w:type="dxa" w:w="5011"/>
            <w:tcMar>
              <w:top w:type="dxa" w:w="60"/>
              <w:left w:type="dxa" w:w="100"/>
              <w:bottom w:type="dxa" w:w="60"/>
              <w:right w:type="dxa" w:w="100"/>
            </w:tcMar>
          </w:tcPr>
          <w:p>
            <w:pPr>
              <w:spacing w:after="0"/>
            </w:pPr>
            <w:r>
              <w:rPr>
                <w:sz w:val="19"/>
                <w:szCs w:val="19"/>
              </w:rPr>
              <w:t xml:space="preserve">Estävät korjattu kolmantena ketjuna, v1.0 tagilla, savutesti, julkaisutiedote, luovutusviesti ja asiakkaan kysymys vastauksineen.</w:t>
            </w:r>
          </w:p>
        </w:tc>
      </w:tr>
      <w:tr>
        <w:tc>
          <w:tcPr>
            <w:tcW w:type="dxa" w:w="1446"/>
            <w:tcMar>
              <w:top w:type="dxa" w:w="60"/>
              <w:left w:type="dxa" w:w="100"/>
              <w:bottom w:type="dxa" w:w="60"/>
              <w:right w:type="dxa" w:w="100"/>
            </w:tcMar>
          </w:tcPr>
          <w:p>
            <w:pPr>
              <w:spacing w:after="0"/>
            </w:pPr>
            <w:r>
              <w:rPr>
                <w:sz w:val="19"/>
                <w:szCs w:val="19"/>
              </w:rPr>
              <w:t xml:space="preserve">18</w:t>
            </w:r>
          </w:p>
        </w:tc>
        <w:tc>
          <w:tcPr>
            <w:tcW w:type="dxa" w:w="3181"/>
            <w:tcMar>
              <w:top w:type="dxa" w:w="60"/>
              <w:left w:type="dxa" w:w="100"/>
              <w:bottom w:type="dxa" w:w="60"/>
              <w:right w:type="dxa" w:w="100"/>
            </w:tcMar>
          </w:tcPr>
          <w:p>
            <w:pPr>
              <w:spacing w:after="0"/>
            </w:pPr>
            <w:r>
              <w:rPr>
                <w:sz w:val="19"/>
                <w:szCs w:val="19"/>
              </w:rPr>
              <w:t xml:space="preserve">Näyttöaineisto</w:t>
            </w:r>
          </w:p>
        </w:tc>
        <w:tc>
          <w:tcPr>
            <w:tcW w:type="dxa" w:w="5011"/>
            <w:tcMar>
              <w:top w:type="dxa" w:w="60"/>
              <w:left w:type="dxa" w:w="100"/>
              <w:bottom w:type="dxa" w:w="60"/>
              <w:right w:type="dxa" w:w="100"/>
            </w:tcMar>
          </w:tcPr>
          <w:p>
            <w:pPr>
              <w:spacing w:after="0"/>
            </w:pPr>
            <w:r>
              <w:rPr>
                <w:sz w:val="19"/>
                <w:szCs w:val="19"/>
              </w:rPr>
              <w:t xml:space="preserve">project-docs/nayttomatriisi.md täsmälinkitettynä 32 vaatimukseen (perustettu työviikolla 17), demo harjoiteltuna, itsearviointi kolmesta tilanteesta ohjaajan vastakommentilla.</w:t>
            </w:r>
          </w:p>
        </w:tc>
      </w:tr>
    </w:tbl>
    <w:p>
      <w:r>
        <w:br w:type="page"/>
      </w:r>
    </w:p>
    <w:p>
      <w:pPr>
        <w:pStyle w:val="Heading1"/>
        <w:spacing w:before="320" w:after="160"/>
      </w:pPr>
      <w:r>
        <w:rPr>
          <w:b/>
          <w:bCs/>
          <w:color w:val="9a3412"/>
        </w:rPr>
        <w:t xml:space="preserve">4 · Arvioinnin kohteet ja työnäytteet</w:t>
      </w:r>
    </w:p>
    <w:p>
      <w:pPr>
        <w:spacing w:after="120" w:before="0"/>
      </w:pPr>
      <w:r>
        <w:rPr>
          <w:sz w:val="21"/>
          <w:szCs w:val="21"/>
        </w:rPr>
        <w:t xml:space="preserve">Sama työnäyte voi kelvata useaan kohtaan. Viikkosarake kertoo, missä työnäyte syntyy.</w:t>
      </w:r>
    </w:p>
    <w:p>
      <w:pPr>
        <w:pStyle w:val="Heading2"/>
        <w:spacing w:before="260" w:after="120"/>
      </w:pPr>
      <w:r>
        <w:rPr>
          <w:b/>
          <w:bCs/>
          <w:color w:val="9a3412"/>
        </w:rPr>
        <w:t xml:space="preserve">Ohjelmointi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dece3" w:val="clear"/>
            <w:tcMar>
              <w:top w:type="dxa" w:w="60"/>
              <w:left w:type="dxa" w:w="100"/>
              <w:bottom w:type="dxa" w:w="60"/>
              <w:right w:type="dxa" w:w="100"/>
            </w:tcMar>
          </w:tcPr>
          <w:p>
            <w:pPr>
              <w:spacing w:after="0"/>
            </w:pPr>
            <w:r>
              <w:rPr>
                <w:b/>
                <w:bCs/>
                <w:sz w:val="19"/>
                <w:szCs w:val="19"/>
              </w:rPr>
              <w:t xml:space="preserve">Arvioinnin kohde</w:t>
            </w:r>
          </w:p>
        </w:tc>
        <w:tc>
          <w:tcPr>
            <w:tcW w:type="dxa" w:w="964"/>
            <w:shd w:fill="fdece3" w:val="clear"/>
            <w:tcMar>
              <w:top w:type="dxa" w:w="60"/>
              <w:left w:type="dxa" w:w="100"/>
              <w:bottom w:type="dxa" w:w="60"/>
              <w:right w:type="dxa" w:w="100"/>
            </w:tcMar>
          </w:tcPr>
          <w:p>
            <w:pPr>
              <w:spacing w:after="0"/>
            </w:pPr>
            <w:r>
              <w:rPr>
                <w:b/>
                <w:bCs/>
                <w:sz w:val="19"/>
                <w:szCs w:val="19"/>
              </w:rPr>
              <w:t xml:space="preserve">Vko</w:t>
            </w:r>
          </w:p>
        </w:tc>
        <w:tc>
          <w:tcPr>
            <w:tcW w:type="dxa" w:w="5975"/>
            <w:shd w:fill="fdece3"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käyttää ohjelmointieditoria tai kehitysympäristöä</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VS Code, Viten kehityspalvelin, PHP:n sisäänrakennettu palvelin ja selaimen kehittäjätyökalut käytössä: versiotaulukko, kuvakaappaukset ja käynnistyskomennot README:ssä</w:t>
            </w:r>
          </w:p>
        </w:tc>
      </w:tr>
      <w:tr>
        <w:tc>
          <w:tcPr>
            <w:tcW w:type="dxa" w:w="2699"/>
            <w:tcMar>
              <w:top w:type="dxa" w:w="60"/>
              <w:left w:type="dxa" w:w="100"/>
              <w:bottom w:type="dxa" w:w="60"/>
              <w:right w:type="dxa" w:w="100"/>
            </w:tcMar>
          </w:tcPr>
          <w:p>
            <w:pPr>
              <w:spacing w:after="0"/>
            </w:pPr>
            <w:r>
              <w:rPr>
                <w:b/>
                <w:bCs/>
                <w:sz w:val="19"/>
                <w:szCs w:val="19"/>
              </w:rPr>
              <w:t xml:space="preserve">etsii ja korjaa virheitä ohjelmakoodista</w:t>
            </w:r>
          </w:p>
        </w:tc>
        <w:tc>
          <w:tcPr>
            <w:tcW w:type="dxa" w:w="964"/>
            <w:tcMar>
              <w:top w:type="dxa" w:w="60"/>
              <w:left w:type="dxa" w:w="100"/>
              <w:bottom w:type="dxa" w:w="60"/>
              <w:right w:type="dxa" w:w="100"/>
            </w:tcMar>
          </w:tcPr>
          <w:p>
            <w:pPr>
              <w:spacing w:after="0"/>
            </w:pPr>
            <w:r>
              <w:rPr>
                <w:sz w:val="19"/>
                <w:szCs w:val="19"/>
              </w:rPr>
              <w:t xml:space="preserve">14, 17 (bug-issuet 4→)</w:t>
            </w:r>
          </w:p>
        </w:tc>
        <w:tc>
          <w:tcPr>
            <w:tcW w:type="dxa" w:w="5975"/>
            <w:tcMar>
              <w:top w:type="dxa" w:w="60"/>
              <w:left w:type="dxa" w:w="100"/>
              <w:bottom w:type="dxa" w:w="60"/>
              <w:right w:type="dxa" w:w="100"/>
            </w:tcMar>
          </w:tcPr>
          <w:p>
            <w:pPr>
              <w:spacing w:after="0"/>
            </w:pPr>
            <w:r>
              <w:rPr>
                <w:sz w:val="19"/>
                <w:szCs w:val="19"/>
              </w:rPr>
              <w:t xml:space="preserve">Kolme täydellistä virheenkorjausketjua: havainto → toisto → syy → korjauscommit → uusintatesti → regressiotesti; raaka-aine bug-issuelistalta</w:t>
            </w:r>
          </w:p>
        </w:tc>
      </w:tr>
      <w:tr>
        <w:tc>
          <w:tcPr>
            <w:tcW w:type="dxa" w:w="2699"/>
            <w:tcMar>
              <w:top w:type="dxa" w:w="60"/>
              <w:left w:type="dxa" w:w="100"/>
              <w:bottom w:type="dxa" w:w="60"/>
              <w:right w:type="dxa" w:w="100"/>
            </w:tcMar>
          </w:tcPr>
          <w:p>
            <w:pPr>
              <w:spacing w:after="0"/>
            </w:pPr>
            <w:r>
              <w:rPr>
                <w:b/>
                <w:bCs/>
                <w:sz w:val="19"/>
                <w:szCs w:val="19"/>
              </w:rPr>
              <w:t xml:space="preserve">testaa ohjelman toimintoja</w:t>
            </w:r>
          </w:p>
        </w:tc>
        <w:tc>
          <w:tcPr>
            <w:tcW w:type="dxa" w:w="964"/>
            <w:tcMar>
              <w:top w:type="dxa" w:w="60"/>
              <w:left w:type="dxa" w:w="100"/>
              <w:bottom w:type="dxa" w:w="60"/>
              <w:right w:type="dxa" w:w="100"/>
            </w:tcMar>
          </w:tcPr>
          <w:p>
            <w:pPr>
              <w:spacing w:after="0"/>
            </w:pPr>
            <w:r>
              <w:rPr>
                <w:sz w:val="19"/>
                <w:szCs w:val="19"/>
              </w:rPr>
              <w:t xml:space="preserve">14 (kirjaus ja ajot 4, 5, 7, 8, 9, 11, 13)</w:t>
            </w:r>
          </w:p>
        </w:tc>
        <w:tc>
          <w:tcPr>
            <w:tcW w:type="dxa" w:w="5975"/>
            <w:tcMar>
              <w:top w:type="dxa" w:w="60"/>
              <w:left w:type="dxa" w:w="100"/>
              <w:bottom w:type="dxa" w:w="60"/>
              <w:right w:type="dxa" w:w="100"/>
            </w:tcMar>
          </w:tcPr>
          <w:p>
            <w:pPr>
              <w:spacing w:after="0"/>
            </w:pPr>
            <w:r>
              <w:rPr>
                <w:sz w:val="19"/>
                <w:szCs w:val="19"/>
              </w:rPr>
              <w:t xml:space="preserve">Testiraportti: 16 testitapausta odotusarvoineen ennen ajoa; ajettavat PHP- ja Vitest-testit sekä käsin ajettavat selaintestit eroteltuina</w:t>
            </w:r>
          </w:p>
        </w:tc>
      </w:tr>
      <w:tr>
        <w:tc>
          <w:tcPr>
            <w:tcW w:type="dxa" w:w="2699"/>
            <w:tcMar>
              <w:top w:type="dxa" w:w="60"/>
              <w:left w:type="dxa" w:w="100"/>
              <w:bottom w:type="dxa" w:w="60"/>
              <w:right w:type="dxa" w:w="100"/>
            </w:tcMar>
          </w:tcPr>
          <w:p>
            <w:pPr>
              <w:spacing w:after="0"/>
            </w:pPr>
            <w:r>
              <w:rPr>
                <w:b/>
                <w:bCs/>
                <w:sz w:val="19"/>
                <w:szCs w:val="19"/>
              </w:rPr>
              <w:t xml:space="preserve">käyttää rakenteista ohjelmointia toteutuksissa</w:t>
            </w:r>
          </w:p>
        </w:tc>
        <w:tc>
          <w:tcPr>
            <w:tcW w:type="dxa" w:w="964"/>
            <w:tcMar>
              <w:top w:type="dxa" w:w="60"/>
              <w:left w:type="dxa" w:w="100"/>
              <w:bottom w:type="dxa" w:w="60"/>
              <w:right w:type="dxa" w:w="100"/>
            </w:tcMar>
          </w:tcPr>
          <w:p>
            <w:pPr>
              <w:spacing w:after="0"/>
            </w:pPr>
            <w:r>
              <w:rPr>
                <w:sz w:val="19"/>
                <w:szCs w:val="19"/>
              </w:rPr>
              <w:t xml:space="preserve">4 (täydentyy 8–9)</w:t>
            </w:r>
          </w:p>
        </w:tc>
        <w:tc>
          <w:tcPr>
            <w:tcW w:type="dxa" w:w="5975"/>
            <w:tcMar>
              <w:top w:type="dxa" w:w="60"/>
              <w:left w:type="dxa" w:w="100"/>
              <w:bottom w:type="dxa" w:w="60"/>
              <w:right w:type="dxa" w:w="100"/>
            </w:tcMar>
          </w:tcPr>
          <w:p>
            <w:pPr>
              <w:spacing w:after="0"/>
            </w:pPr>
            <w:r>
              <w:rPr>
                <w:sz w:val="19"/>
                <w:szCs w:val="19"/>
              </w:rPr>
              <w:t xml:space="preserve">Päivänvalolaskenta omana PHP-moduulina (funktiot, ehdot, rajatarkistus, karkausvuosi); muotoilu- ja leikkauspistemoduulit TypeScriptillä</w:t>
            </w:r>
          </w:p>
        </w:tc>
      </w:tr>
      <w:tr>
        <w:tc>
          <w:tcPr>
            <w:tcW w:type="dxa" w:w="2699"/>
            <w:tcMar>
              <w:top w:type="dxa" w:w="60"/>
              <w:left w:type="dxa" w:w="100"/>
              <w:bottom w:type="dxa" w:w="60"/>
              <w:right w:type="dxa" w:w="100"/>
            </w:tcMar>
          </w:tcPr>
          <w:p>
            <w:pPr>
              <w:spacing w:after="0"/>
            </w:pPr>
            <w:r>
              <w:rPr>
                <w:b/>
                <w:bCs/>
                <w:sz w:val="19"/>
                <w:szCs w:val="19"/>
              </w:rPr>
              <w:t xml:space="preserve">kirjoittaa ylläpidettävää ohjelmakoodia</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Kolme refaktorointia ohjaajan koodikatselmoinnin nimetyistä havainnoista, ennen/jälkeen-diffit, perustelut, testit läpi</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käyttöliittymän tai sen osia</w:t>
            </w:r>
          </w:p>
        </w:tc>
        <w:tc>
          <w:tcPr>
            <w:tcW w:type="dxa" w:w="964"/>
            <w:tcMar>
              <w:top w:type="dxa" w:w="60"/>
              <w:left w:type="dxa" w:w="100"/>
              <w:bottom w:type="dxa" w:w="60"/>
              <w:right w:type="dxa" w:w="100"/>
            </w:tcMar>
          </w:tcPr>
          <w:p>
            <w:pPr>
              <w:spacing w:after="0"/>
            </w:pPr>
            <w:r>
              <w:rPr>
                <w:sz w:val="19"/>
                <w:szCs w:val="19"/>
              </w:rPr>
              <w:t xml:space="preserve">7 (rautalangat 2, täydentyy 12)</w:t>
            </w:r>
          </w:p>
        </w:tc>
        <w:tc>
          <w:tcPr>
            <w:tcW w:type="dxa" w:w="5975"/>
            <w:tcMar>
              <w:top w:type="dxa" w:w="60"/>
              <w:left w:type="dxa" w:w="100"/>
              <w:bottom w:type="dxa" w:w="60"/>
              <w:right w:type="dxa" w:w="100"/>
            </w:tcMar>
          </w:tcPr>
          <w:p>
            <w:pPr>
              <w:spacing w:after="0"/>
            </w:pPr>
            <w:r>
              <w:rPr>
                <w:sz w:val="19"/>
                <w:szCs w:val="19"/>
              </w:rPr>
              <w:t xml:space="preserve">Lomake, paikkalista ja kaavionäkymä rakennettu itse rautalankojen mukaan Tailwindilla; mobiili ja saavutettavuus</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ohjelmiston toimintoja</w:t>
            </w:r>
          </w:p>
        </w:tc>
        <w:tc>
          <w:tcPr>
            <w:tcW w:type="dxa" w:w="964"/>
            <w:tcMar>
              <w:top w:type="dxa" w:w="60"/>
              <w:left w:type="dxa" w:w="100"/>
              <w:bottom w:type="dxa" w:w="60"/>
              <w:right w:type="dxa" w:w="100"/>
            </w:tcMar>
          </w:tcPr>
          <w:p>
            <w:pPr>
              <w:spacing w:after="0"/>
            </w:pPr>
            <w:r>
              <w:rPr>
                <w:sz w:val="19"/>
                <w:szCs w:val="19"/>
              </w:rPr>
              <w:t xml:space="preserve">7, 11 (alku 5)</w:t>
            </w:r>
          </w:p>
        </w:tc>
        <w:tc>
          <w:tcPr>
            <w:tcW w:type="dxa" w:w="5975"/>
            <w:tcMar>
              <w:top w:type="dxa" w:w="60"/>
              <w:left w:type="dxa" w:w="100"/>
              <w:bottom w:type="dxa" w:w="60"/>
              <w:right w:type="dxa" w:w="100"/>
            </w:tcMar>
          </w:tcPr>
          <w:p>
            <w:pPr>
              <w:spacing w:after="0"/>
            </w:pPr>
            <w:r>
              <w:rPr>
                <w:sz w:val="19"/>
                <w:szCs w:val="19"/>
              </w:rPr>
              <w:t xml:space="preserve">Paikan lisäys, poisto, duplikaatin esto ja vuosivalinta käyttäjätarinoiden ja hyväksymiskriteerien mukaan; issue → commit -ketju</w:t>
            </w:r>
          </w:p>
        </w:tc>
      </w:tr>
      <w:tr>
        <w:tc>
          <w:tcPr>
            <w:tcW w:type="dxa" w:w="2699"/>
            <w:tcMar>
              <w:top w:type="dxa" w:w="60"/>
              <w:left w:type="dxa" w:w="100"/>
              <w:bottom w:type="dxa" w:w="60"/>
              <w:right w:type="dxa" w:w="100"/>
            </w:tcMar>
          </w:tcPr>
          <w:p>
            <w:pPr>
              <w:spacing w:after="0"/>
            </w:pPr>
            <w:r>
              <w:rPr>
                <w:b/>
                <w:bCs/>
                <w:sz w:val="19"/>
                <w:szCs w:val="19"/>
              </w:rPr>
              <w:t xml:space="preserve">sopii tehtävistä tiimin muiden jäsenten kanssa</w:t>
            </w:r>
          </w:p>
        </w:tc>
        <w:tc>
          <w:tcPr>
            <w:tcW w:type="dxa" w:w="964"/>
            <w:tcMar>
              <w:top w:type="dxa" w:w="60"/>
              <w:left w:type="dxa" w:w="100"/>
              <w:bottom w:type="dxa" w:w="60"/>
              <w:right w:type="dxa" w:w="100"/>
            </w:tcMar>
          </w:tcPr>
          <w:p>
            <w:pPr>
              <w:spacing w:after="0"/>
            </w:pPr>
            <w:r>
              <w:rPr>
                <w:sz w:val="19"/>
                <w:szCs w:val="19"/>
              </w:rPr>
              <w:t xml:space="preserve">2→17</w:t>
            </w:r>
          </w:p>
        </w:tc>
        <w:tc>
          <w:tcPr>
            <w:tcW w:type="dxa" w:w="5975"/>
            <w:tcMar>
              <w:top w:type="dxa" w:w="60"/>
              <w:left w:type="dxa" w:w="100"/>
              <w:bottom w:type="dxa" w:w="60"/>
              <w:right w:type="dxa" w:w="100"/>
            </w:tcMar>
          </w:tcPr>
          <w:p>
            <w:pPr>
              <w:spacing w:after="0"/>
            </w:pPr>
            <w:r>
              <w:rPr>
                <w:sz w:val="19"/>
                <w:szCs w:val="19"/>
              </w:rPr>
              <w:t xml:space="preserve">Viikkopalaveri ohjaajan kanssa: sovitut tehtävät, arviot ja toteuma issueihin, päivä ja roolit päiväkirjassa</w:t>
            </w:r>
          </w:p>
        </w:tc>
      </w:tr>
      <w:tr>
        <w:tc>
          <w:tcPr>
            <w:tcW w:type="dxa" w:w="2699"/>
            <w:tcMar>
              <w:top w:type="dxa" w:w="60"/>
              <w:left w:type="dxa" w:w="100"/>
              <w:bottom w:type="dxa" w:w="60"/>
              <w:right w:type="dxa" w:w="100"/>
            </w:tcMar>
          </w:tcPr>
          <w:p>
            <w:pPr>
              <w:spacing w:after="0"/>
            </w:pPr>
            <w:r>
              <w:rPr>
                <w:b/>
                <w:bCs/>
                <w:sz w:val="19"/>
                <w:szCs w:val="19"/>
              </w:rPr>
              <w:t xml:space="preserve">etsii ratkaisuvaihtoehtoja ja ratkoo ongelmia yhdessä tiimin kanssa</w:t>
            </w:r>
          </w:p>
        </w:tc>
        <w:tc>
          <w:tcPr>
            <w:tcW w:type="dxa" w:w="964"/>
            <w:tcMar>
              <w:top w:type="dxa" w:w="60"/>
              <w:left w:type="dxa" w:w="100"/>
              <w:bottom w:type="dxa" w:w="60"/>
              <w:right w:type="dxa" w:w="100"/>
            </w:tcMar>
          </w:tcPr>
          <w:p>
            <w:pPr>
              <w:spacing w:after="0"/>
            </w:pPr>
            <w:r>
              <w:rPr>
                <w:sz w:val="19"/>
                <w:szCs w:val="19"/>
              </w:rPr>
              <w:t xml:space="preserve">2 (todennus 3, 4, 11)</w:t>
            </w:r>
          </w:p>
        </w:tc>
        <w:tc>
          <w:tcPr>
            <w:tcW w:type="dxa" w:w="5975"/>
            <w:tcMar>
              <w:top w:type="dxa" w:w="60"/>
              <w:left w:type="dxa" w:w="100"/>
              <w:bottom w:type="dxa" w:w="60"/>
              <w:right w:type="dxa" w:w="100"/>
            </w:tcMar>
          </w:tcPr>
          <w:p>
            <w:pPr>
              <w:spacing w:after="0"/>
            </w:pPr>
            <w:r>
              <w:rPr>
                <w:sz w:val="19"/>
                <w:szCs w:val="19"/>
              </w:rPr>
              <w:t xml:space="preserve">Kaksi vertailua ja yhteinen päätös ohjaajan kanssa kirjattuna; yhdessä ratkotut ongelmat: julkaisu, napapiirin laskenta-ansat, merge-konflikti</w:t>
            </w:r>
          </w:p>
        </w:tc>
      </w:tr>
      <w:tr>
        <w:tc>
          <w:tcPr>
            <w:tcW w:type="dxa" w:w="2699"/>
            <w:tcMar>
              <w:top w:type="dxa" w:w="60"/>
              <w:left w:type="dxa" w:w="100"/>
              <w:bottom w:type="dxa" w:w="60"/>
              <w:right w:type="dxa" w:w="100"/>
            </w:tcMar>
          </w:tcPr>
          <w:p>
            <w:pPr>
              <w:spacing w:after="0"/>
            </w:pPr>
            <w:r>
              <w:rPr>
                <w:b/>
                <w:bCs/>
                <w:sz w:val="19"/>
                <w:szCs w:val="19"/>
              </w:rPr>
              <w:t xml:space="preserve">arvioi ratkaisujen toimivuuden yhdessä tiimin kanssa</w:t>
            </w:r>
          </w:p>
        </w:tc>
        <w:tc>
          <w:tcPr>
            <w:tcW w:type="dxa" w:w="964"/>
            <w:tcMar>
              <w:top w:type="dxa" w:w="60"/>
              <w:left w:type="dxa" w:w="100"/>
              <w:bottom w:type="dxa" w:w="60"/>
              <w:right w:type="dxa" w:w="100"/>
            </w:tcMar>
          </w:tcPr>
          <w:p>
            <w:pPr>
              <w:spacing w:after="0"/>
            </w:pPr>
            <w:r>
              <w:rPr>
                <w:sz w:val="19"/>
                <w:szCs w:val="19"/>
              </w:rPr>
              <w:t xml:space="preserve">10 (täydentyy 11)</w:t>
            </w:r>
          </w:p>
        </w:tc>
        <w:tc>
          <w:tcPr>
            <w:tcW w:type="dxa" w:w="5975"/>
            <w:tcMar>
              <w:top w:type="dxa" w:w="60"/>
              <w:left w:type="dxa" w:w="100"/>
              <w:bottom w:type="dxa" w:w="60"/>
              <w:right w:type="dxa" w:w="100"/>
            </w:tcMar>
          </w:tcPr>
          <w:p>
            <w:pPr>
              <w:spacing w:after="0"/>
            </w:pPr>
            <w:r>
              <w:rPr>
                <w:sz w:val="19"/>
                <w:szCs w:val="19"/>
              </w:rPr>
              <w:t xml:space="preserve">Katselmointi: ymmärtääkö asiakkaan roolissa oleva kaavion ilman selityksiä; muistio ja priorisoitu muutoslista, todennus muutoksella</w:t>
            </w:r>
          </w:p>
        </w:tc>
      </w:tr>
      <w:tr>
        <w:tc>
          <w:tcPr>
            <w:tcW w:type="dxa" w:w="2699"/>
            <w:tcMar>
              <w:top w:type="dxa" w:w="60"/>
              <w:left w:type="dxa" w:w="100"/>
              <w:bottom w:type="dxa" w:w="60"/>
              <w:right w:type="dxa" w:w="100"/>
            </w:tcMar>
          </w:tcPr>
          <w:p>
            <w:pPr>
              <w:spacing w:after="0"/>
            </w:pPr>
            <w:r>
              <w:rPr>
                <w:b/>
                <w:bCs/>
                <w:sz w:val="19"/>
                <w:szCs w:val="19"/>
              </w:rPr>
              <w:t xml:space="preserve">arvioi omaa toimintaa tiimin jäsenenä</w:t>
            </w:r>
          </w:p>
        </w:tc>
        <w:tc>
          <w:tcPr>
            <w:tcW w:type="dxa" w:w="964"/>
            <w:tcMar>
              <w:top w:type="dxa" w:w="60"/>
              <w:left w:type="dxa" w:w="100"/>
              <w:bottom w:type="dxa" w:w="60"/>
              <w:right w:type="dxa" w:w="100"/>
            </w:tcMar>
          </w:tcPr>
          <w:p>
            <w:pPr>
              <w:spacing w:after="0"/>
            </w:pPr>
            <w:r>
              <w:rPr>
                <w:sz w:val="19"/>
                <w:szCs w:val="19"/>
              </w:rPr>
              <w:t xml:space="preserve">18</w:t>
            </w:r>
          </w:p>
        </w:tc>
        <w:tc>
          <w:tcPr>
            <w:tcW w:type="dxa" w:w="5975"/>
            <w:tcMar>
              <w:top w:type="dxa" w:w="60"/>
              <w:left w:type="dxa" w:w="100"/>
              <w:bottom w:type="dxa" w:w="60"/>
              <w:right w:type="dxa" w:w="100"/>
            </w:tcMar>
          </w:tcPr>
          <w:p>
            <w:pPr>
              <w:spacing w:after="0"/>
            </w:pPr>
            <w:r>
              <w:rPr>
                <w:sz w:val="19"/>
                <w:szCs w:val="19"/>
              </w:rPr>
              <w:t xml:space="preserve">Itsearviointi kolmesta nimetystä tilanteesta (vk 10 palaute, vk 16 testaajan epäröinti, yksi viikkopalaveri) ja ohjaajan vastakommentti</w:t>
            </w:r>
          </w:p>
        </w:tc>
      </w:tr>
    </w:tbl>
    <w:p>
      <w:pPr>
        <w:spacing w:after="120" w:before="0"/>
      </w:pPr>
      <w:r>
        <w:rPr>
          <w:sz w:val="21"/>
          <w:szCs w:val="21"/>
        </w:rPr>
      </w:r>
    </w:p>
    <w:p>
      <w:pPr>
        <w:pStyle w:val="Heading2"/>
        <w:spacing w:before="260" w:after="120"/>
      </w:pPr>
      <w:r>
        <w:rPr>
          <w:b/>
          <w:bCs/>
          <w:color w:val="9a3412"/>
        </w:rPr>
        <w:t xml:space="preserve">Ohjelmistokehittäjänä toimiminen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dece3" w:val="clear"/>
            <w:tcMar>
              <w:top w:type="dxa" w:w="60"/>
              <w:left w:type="dxa" w:w="100"/>
              <w:bottom w:type="dxa" w:w="60"/>
              <w:right w:type="dxa" w:w="100"/>
            </w:tcMar>
          </w:tcPr>
          <w:p>
            <w:pPr>
              <w:spacing w:after="0"/>
            </w:pPr>
            <w:r>
              <w:rPr>
                <w:b/>
                <w:bCs/>
                <w:sz w:val="19"/>
                <w:szCs w:val="19"/>
              </w:rPr>
              <w:t xml:space="preserve">Arvioinnin kohde</w:t>
            </w:r>
          </w:p>
        </w:tc>
        <w:tc>
          <w:tcPr>
            <w:tcW w:type="dxa" w:w="964"/>
            <w:shd w:fill="fdece3" w:val="clear"/>
            <w:tcMar>
              <w:top w:type="dxa" w:w="60"/>
              <w:left w:type="dxa" w:w="100"/>
              <w:bottom w:type="dxa" w:w="60"/>
              <w:right w:type="dxa" w:w="100"/>
            </w:tcMar>
          </w:tcPr>
          <w:p>
            <w:pPr>
              <w:spacing w:after="0"/>
            </w:pPr>
            <w:r>
              <w:rPr>
                <w:b/>
                <w:bCs/>
                <w:sz w:val="19"/>
                <w:szCs w:val="19"/>
              </w:rPr>
              <w:t xml:space="preserve">Vko</w:t>
            </w:r>
          </w:p>
        </w:tc>
        <w:tc>
          <w:tcPr>
            <w:tcW w:type="dxa" w:w="5975"/>
            <w:shd w:fill="fdece3"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selvittää kehitystiimin kanssa asiakkaan tarpeet</w:t>
            </w:r>
          </w:p>
        </w:tc>
        <w:tc>
          <w:tcPr>
            <w:tcW w:type="dxa" w:w="964"/>
            <w:tcMar>
              <w:top w:type="dxa" w:w="60"/>
              <w:left w:type="dxa" w:w="100"/>
              <w:bottom w:type="dxa" w:w="60"/>
              <w:right w:type="dxa" w:w="100"/>
            </w:tcMar>
          </w:tcPr>
          <w:p>
            <w:pPr>
              <w:spacing w:after="0"/>
            </w:pPr>
            <w:r>
              <w:rPr>
                <w:sz w:val="19"/>
                <w:szCs w:val="19"/>
              </w:rPr>
              <w:t xml:space="preserve">2 (täydentyy 10)</w:t>
            </w:r>
          </w:p>
        </w:tc>
        <w:tc>
          <w:tcPr>
            <w:tcW w:type="dxa" w:w="5975"/>
            <w:tcMar>
              <w:top w:type="dxa" w:w="60"/>
              <w:left w:type="dxa" w:w="100"/>
              <w:bottom w:type="dxa" w:w="60"/>
              <w:right w:type="dxa" w:w="100"/>
            </w:tcMar>
          </w:tcPr>
          <w:p>
            <w:pPr>
              <w:spacing w:after="0"/>
            </w:pPr>
            <w:r>
              <w:rPr>
                <w:sz w:val="19"/>
                <w:szCs w:val="19"/>
              </w:rPr>
              <w:t xml:space="preserve">Ohjaajan vastaukset kysymyslistaan kirjattuina; käyttäjätarinat ja käyttäjäryhmät; rajaus täydennetty katselmoinnissa</w:t>
            </w:r>
          </w:p>
        </w:tc>
      </w:tr>
      <w:tr>
        <w:tc>
          <w:tcPr>
            <w:tcW w:type="dxa" w:w="2699"/>
            <w:tcMar>
              <w:top w:type="dxa" w:w="60"/>
              <w:left w:type="dxa" w:w="100"/>
              <w:bottom w:type="dxa" w:w="60"/>
              <w:right w:type="dxa" w:w="100"/>
            </w:tcMar>
          </w:tcPr>
          <w:p>
            <w:pPr>
              <w:spacing w:after="0"/>
            </w:pPr>
            <w:r>
              <w:rPr>
                <w:b/>
                <w:bCs/>
                <w:sz w:val="19"/>
                <w:szCs w:val="19"/>
              </w:rPr>
              <w:t xml:space="preserve">viestii tekniset asiat asiakaslähtöisesti</w:t>
            </w:r>
          </w:p>
        </w:tc>
        <w:tc>
          <w:tcPr>
            <w:tcW w:type="dxa" w:w="964"/>
            <w:tcMar>
              <w:top w:type="dxa" w:w="60"/>
              <w:left w:type="dxa" w:w="100"/>
              <w:bottom w:type="dxa" w:w="60"/>
              <w:right w:type="dxa" w:w="100"/>
            </w:tcMar>
          </w:tcPr>
          <w:p>
            <w:pPr>
              <w:spacing w:after="0"/>
            </w:pPr>
            <w:r>
              <w:rPr>
                <w:sz w:val="19"/>
                <w:szCs w:val="19"/>
              </w:rPr>
              <w:t xml:space="preserve">10, 17</w:t>
            </w:r>
          </w:p>
        </w:tc>
        <w:tc>
          <w:tcPr>
            <w:tcW w:type="dxa" w:w="5975"/>
            <w:tcMar>
              <w:top w:type="dxa" w:w="60"/>
              <w:left w:type="dxa" w:w="100"/>
              <w:bottom w:type="dxa" w:w="60"/>
              <w:right w:type="dxa" w:w="100"/>
            </w:tcMar>
          </w:tcPr>
          <w:p>
            <w:pPr>
              <w:spacing w:after="0"/>
            </w:pPr>
            <w:r>
              <w:rPr>
                <w:sz w:val="19"/>
                <w:szCs w:val="19"/>
              </w:rPr>
              <w:t xml:space="preserve">Katselmointiesittely ilman teknistä sanastoa; luovutusviesti ohjaajalle asiakkaan roolissa ja vastaus asiakaskysymykseen</w:t>
            </w:r>
          </w:p>
        </w:tc>
      </w:tr>
      <w:tr>
        <w:tc>
          <w:tcPr>
            <w:tcW w:type="dxa" w:w="2699"/>
            <w:tcMar>
              <w:top w:type="dxa" w:w="60"/>
              <w:left w:type="dxa" w:w="100"/>
              <w:bottom w:type="dxa" w:w="60"/>
              <w:right w:type="dxa" w:w="100"/>
            </w:tcMar>
          </w:tcPr>
          <w:p>
            <w:pPr>
              <w:spacing w:after="0"/>
            </w:pPr>
            <w:r>
              <w:rPr>
                <w:b/>
                <w:bCs/>
                <w:sz w:val="19"/>
                <w:szCs w:val="19"/>
              </w:rPr>
              <w:t xml:space="preserve">osallistuu version katselmointiin</w:t>
            </w:r>
          </w:p>
        </w:tc>
        <w:tc>
          <w:tcPr>
            <w:tcW w:type="dxa" w:w="964"/>
            <w:tcMar>
              <w:top w:type="dxa" w:w="60"/>
              <w:left w:type="dxa" w:w="100"/>
              <w:bottom w:type="dxa" w:w="60"/>
              <w:right w:type="dxa" w:w="100"/>
            </w:tcMar>
          </w:tcPr>
          <w:p>
            <w:pPr>
              <w:spacing w:after="0"/>
            </w:pPr>
            <w:r>
              <w:rPr>
                <w:sz w:val="19"/>
                <w:szCs w:val="19"/>
              </w:rPr>
              <w:t xml:space="preserve">10 ja 16</w:t>
            </w:r>
          </w:p>
        </w:tc>
        <w:tc>
          <w:tcPr>
            <w:tcW w:type="dxa" w:w="5975"/>
            <w:tcMar>
              <w:top w:type="dxa" w:w="60"/>
              <w:left w:type="dxa" w:w="100"/>
              <w:bottom w:type="dxa" w:w="60"/>
              <w:right w:type="dxa" w:w="100"/>
            </w:tcMar>
          </w:tcPr>
          <w:p>
            <w:pPr>
              <w:spacing w:after="0"/>
            </w:pPr>
            <w:r>
              <w:rPr>
                <w:sz w:val="19"/>
                <w:szCs w:val="19"/>
              </w:rPr>
              <w:t xml:space="preserve">Kaksi katselmointia: väliversion asiakaskatselmointi ja julkaisuehdokkaan julkaisutestaus; palaute ja sovitut muutokset kirjattuina</w:t>
            </w:r>
          </w:p>
        </w:tc>
      </w:tr>
      <w:tr>
        <w:tc>
          <w:tcPr>
            <w:tcW w:type="dxa" w:w="2699"/>
            <w:tcMar>
              <w:top w:type="dxa" w:w="60"/>
              <w:left w:type="dxa" w:w="100"/>
              <w:bottom w:type="dxa" w:w="60"/>
              <w:right w:type="dxa" w:w="100"/>
            </w:tcMar>
          </w:tcPr>
          <w:p>
            <w:pPr>
              <w:spacing w:after="0"/>
            </w:pPr>
            <w:r>
              <w:rPr>
                <w:b/>
                <w:bCs/>
                <w:sz w:val="19"/>
                <w:szCs w:val="19"/>
              </w:rPr>
              <w:t xml:space="preserve">asettaa kehitystiimin kanssa toteutettavat toiminnot tärkeysjärjestykseen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P0/P1/P2-priorisointi ohjaajan kanssa; P0-ydin toteutettu ensin</w:t>
            </w:r>
          </w:p>
        </w:tc>
      </w:tr>
      <w:tr>
        <w:tc>
          <w:tcPr>
            <w:tcW w:type="dxa" w:w="2699"/>
            <w:tcMar>
              <w:top w:type="dxa" w:w="60"/>
              <w:left w:type="dxa" w:w="100"/>
              <w:bottom w:type="dxa" w:w="60"/>
              <w:right w:type="dxa" w:w="100"/>
            </w:tcMar>
          </w:tcPr>
          <w:p>
            <w:pPr>
              <w:spacing w:after="0"/>
            </w:pPr>
            <w:r>
              <w:rPr>
                <w:b/>
                <w:bCs/>
                <w:sz w:val="19"/>
                <w:szCs w:val="19"/>
              </w:rPr>
              <w:t xml:space="preserve">jakaa kehitystiimin kanssa toteutettavat toiminnot tehtäviksi</w:t>
            </w:r>
          </w:p>
        </w:tc>
        <w:tc>
          <w:tcPr>
            <w:tcW w:type="dxa" w:w="964"/>
            <w:tcMar>
              <w:top w:type="dxa" w:w="60"/>
              <w:left w:type="dxa" w:w="100"/>
              <w:bottom w:type="dxa" w:w="60"/>
              <w:right w:type="dxa" w:w="100"/>
            </w:tcMar>
          </w:tcPr>
          <w:p>
            <w:pPr>
              <w:spacing w:after="0"/>
            </w:pPr>
            <w:r>
              <w:rPr>
                <w:sz w:val="19"/>
                <w:szCs w:val="19"/>
              </w:rPr>
              <w:t xml:space="preserve">2 (jatkuva)</w:t>
            </w:r>
          </w:p>
        </w:tc>
        <w:tc>
          <w:tcPr>
            <w:tcW w:type="dxa" w:w="5975"/>
            <w:tcMar>
              <w:top w:type="dxa" w:w="60"/>
              <w:left w:type="dxa" w:w="100"/>
              <w:bottom w:type="dxa" w:w="60"/>
              <w:right w:type="dxa" w:w="100"/>
            </w:tcMar>
          </w:tcPr>
          <w:p>
            <w:pPr>
              <w:spacing w:after="0"/>
            </w:pPr>
            <w:r>
              <w:rPr>
                <w:sz w:val="19"/>
                <w:szCs w:val="19"/>
              </w:rPr>
              <w:t xml:space="preserve">Käyttäjätarinat pilkottu issueiksi (½–1 pv) hyväksymiskriteereineen; issue-taulu koko projektin ajan</w:t>
            </w:r>
          </w:p>
        </w:tc>
      </w:tr>
      <w:tr>
        <w:tc>
          <w:tcPr>
            <w:tcW w:type="dxa" w:w="2699"/>
            <w:tcMar>
              <w:top w:type="dxa" w:w="60"/>
              <w:left w:type="dxa" w:w="100"/>
              <w:bottom w:type="dxa" w:w="60"/>
              <w:right w:type="dxa" w:w="100"/>
            </w:tcMar>
          </w:tcPr>
          <w:p>
            <w:pPr>
              <w:spacing w:after="0"/>
            </w:pPr>
            <w:r>
              <w:rPr>
                <w:b/>
                <w:bCs/>
                <w:sz w:val="19"/>
                <w:szCs w:val="19"/>
              </w:rPr>
              <w:t xml:space="preserve">suunnittelee ja arvioi kehitystiimin kanssa tehtävien toteuttamista</w:t>
            </w:r>
          </w:p>
        </w:tc>
        <w:tc>
          <w:tcPr>
            <w:tcW w:type="dxa" w:w="964"/>
            <w:tcMar>
              <w:top w:type="dxa" w:w="60"/>
              <w:left w:type="dxa" w:w="100"/>
              <w:bottom w:type="dxa" w:w="60"/>
              <w:right w:type="dxa" w:w="100"/>
            </w:tcMar>
          </w:tcPr>
          <w:p>
            <w:pPr>
              <w:spacing w:after="0"/>
            </w:pPr>
            <w:r>
              <w:rPr>
                <w:sz w:val="19"/>
                <w:szCs w:val="19"/>
              </w:rPr>
              <w:t xml:space="preserve">2→ (vertailu 7)</w:t>
            </w:r>
          </w:p>
        </w:tc>
        <w:tc>
          <w:tcPr>
            <w:tcW w:type="dxa" w:w="5975"/>
            <w:tcMar>
              <w:top w:type="dxa" w:w="60"/>
              <w:left w:type="dxa" w:w="100"/>
              <w:bottom w:type="dxa" w:w="60"/>
              <w:right w:type="dxa" w:w="100"/>
            </w:tcMar>
          </w:tcPr>
          <w:p>
            <w:pPr>
              <w:spacing w:after="0"/>
            </w:pPr>
            <w:r>
              <w:rPr>
                <w:sz w:val="19"/>
                <w:szCs w:val="19"/>
              </w:rPr>
              <w:t xml:space="preserve">Työmääräarviot ja toteumat issueissa jokaisen viikkopalaverin jälkeen; arvio vs. toteuma -vertailu ja suunnitelman päivitys</w:t>
            </w:r>
          </w:p>
        </w:tc>
      </w:tr>
      <w:tr>
        <w:tc>
          <w:tcPr>
            <w:tcW w:type="dxa" w:w="2699"/>
            <w:tcMar>
              <w:top w:type="dxa" w:w="60"/>
              <w:left w:type="dxa" w:w="100"/>
              <w:bottom w:type="dxa" w:w="60"/>
              <w:right w:type="dxa" w:w="100"/>
            </w:tcMar>
          </w:tcPr>
          <w:p>
            <w:pPr>
              <w:spacing w:after="0"/>
            </w:pPr>
            <w:r>
              <w:rPr>
                <w:b/>
                <w:bCs/>
                <w:sz w:val="19"/>
                <w:szCs w:val="19"/>
              </w:rPr>
              <w:t xml:space="preserve">kehittää ohjelmiston toimintalogiikkaa</w:t>
            </w:r>
          </w:p>
        </w:tc>
        <w:tc>
          <w:tcPr>
            <w:tcW w:type="dxa" w:w="964"/>
            <w:tcMar>
              <w:top w:type="dxa" w:w="60"/>
              <w:left w:type="dxa" w:w="100"/>
              <w:bottom w:type="dxa" w:w="60"/>
              <w:right w:type="dxa" w:w="100"/>
            </w:tcMar>
          </w:tcPr>
          <w:p>
            <w:pPr>
              <w:spacing w:after="0"/>
            </w:pPr>
            <w:r>
              <w:rPr>
                <w:sz w:val="19"/>
                <w:szCs w:val="19"/>
              </w:rPr>
              <w:t xml:space="preserve">4, 5, 9, 13</w:t>
            </w:r>
          </w:p>
        </w:tc>
        <w:tc>
          <w:tcPr>
            <w:tcW w:type="dxa" w:w="5975"/>
            <w:tcMar>
              <w:top w:type="dxa" w:w="60"/>
              <w:left w:type="dxa" w:w="100"/>
              <w:bottom w:type="dxa" w:w="60"/>
              <w:right w:type="dxa" w:w="100"/>
            </w:tcMar>
          </w:tcPr>
          <w:p>
            <w:pPr>
              <w:spacing w:after="0"/>
            </w:pPr>
            <w:r>
              <w:rPr>
                <w:sz w:val="19"/>
                <w:szCs w:val="19"/>
              </w:rPr>
              <w:t xml:space="preserve">Päivänvalolaskenta rajoin ja karkausvuosin, haun normalisointi ja validointi, leikkauspisteiden laskenta toleranssilla, yhden paikan virheen käsittely</w:t>
            </w:r>
          </w:p>
        </w:tc>
      </w:tr>
      <w:tr>
        <w:tc>
          <w:tcPr>
            <w:tcW w:type="dxa" w:w="2699"/>
            <w:tcMar>
              <w:top w:type="dxa" w:w="60"/>
              <w:left w:type="dxa" w:w="100"/>
              <w:bottom w:type="dxa" w:w="60"/>
              <w:right w:type="dxa" w:w="100"/>
            </w:tcMar>
          </w:tcPr>
          <w:p>
            <w:pPr>
              <w:spacing w:after="0"/>
            </w:pPr>
            <w:r>
              <w:rPr>
                <w:b/>
                <w:bCs/>
                <w:sz w:val="19"/>
                <w:szCs w:val="19"/>
              </w:rPr>
              <w:t xml:space="preserve">valitsee ohjelmistoon sopivan tietovaraston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Paikkakuntatiedon muodon vertailu (JSON / SQLite; ulkoinen geokoodaus vain perustellusti) haun, kattavuuden, lisenssin ja verkkoriippuvuuden perusteella</w:t>
            </w:r>
          </w:p>
        </w:tc>
      </w:tr>
      <w:tr>
        <w:tc>
          <w:tcPr>
            <w:tcW w:type="dxa" w:w="2699"/>
            <w:tcMar>
              <w:top w:type="dxa" w:w="60"/>
              <w:left w:type="dxa" w:w="100"/>
              <w:bottom w:type="dxa" w:w="60"/>
              <w:right w:type="dxa" w:w="100"/>
            </w:tcMar>
          </w:tcPr>
          <w:p>
            <w:pPr>
              <w:spacing w:after="0"/>
            </w:pPr>
            <w:r>
              <w:rPr>
                <w:b/>
                <w:bCs/>
                <w:sz w:val="19"/>
                <w:szCs w:val="19"/>
              </w:rPr>
              <w:t xml:space="preserve">toteuttaa yhteyden tietovarastoon</w:t>
            </w:r>
          </w:p>
        </w:tc>
        <w:tc>
          <w:tcPr>
            <w:tcW w:type="dxa" w:w="964"/>
            <w:tcMar>
              <w:top w:type="dxa" w:w="60"/>
              <w:left w:type="dxa" w:w="100"/>
              <w:bottom w:type="dxa" w:w="60"/>
              <w:right w:type="dxa" w:w="100"/>
            </w:tcMar>
          </w:tcPr>
          <w:p>
            <w:pPr>
              <w:spacing w:after="0"/>
            </w:pPr>
            <w:r>
              <w:rPr>
                <w:sz w:val="19"/>
                <w:szCs w:val="19"/>
              </w:rPr>
              <w:t xml:space="preserve">5</w:t>
            </w:r>
          </w:p>
        </w:tc>
        <w:tc>
          <w:tcPr>
            <w:tcW w:type="dxa" w:w="5975"/>
            <w:tcMar>
              <w:top w:type="dxa" w:w="60"/>
              <w:left w:type="dxa" w:w="100"/>
              <w:bottom w:type="dxa" w:w="60"/>
              <w:right w:type="dxa" w:w="100"/>
            </w:tcMar>
          </w:tcPr>
          <w:p>
            <w:pPr>
              <w:spacing w:after="0"/>
            </w:pPr>
            <w:r>
              <w:rPr>
                <w:sz w:val="19"/>
                <w:szCs w:val="19"/>
              </w:rPr>
              <w:t xml:space="preserve">Paikkakuntatiedon luku ja haku nimellä Geocoder-moduulissa; SQLite-polulla yhteyskerros, JSON-polulla latausmoduuli ja rakenne; lisenssi kirjattuna</w:t>
            </w:r>
          </w:p>
        </w:tc>
      </w:tr>
      <w:tr>
        <w:tc>
          <w:tcPr>
            <w:tcW w:type="dxa" w:w="2699"/>
            <w:tcMar>
              <w:top w:type="dxa" w:w="60"/>
              <w:left w:type="dxa" w:w="100"/>
              <w:bottom w:type="dxa" w:w="60"/>
              <w:right w:type="dxa" w:w="100"/>
            </w:tcMar>
          </w:tcPr>
          <w:p>
            <w:pPr>
              <w:spacing w:after="0"/>
            </w:pPr>
            <w:r>
              <w:rPr>
                <w:b/>
                <w:bCs/>
                <w:sz w:val="19"/>
                <w:szCs w:val="19"/>
              </w:rPr>
              <w:t xml:space="preserve">hyödyntää rajapintoja ja käsittelee tietoa</w:t>
            </w:r>
          </w:p>
        </w:tc>
        <w:tc>
          <w:tcPr>
            <w:tcW w:type="dxa" w:w="964"/>
            <w:tcMar>
              <w:top w:type="dxa" w:w="60"/>
              <w:left w:type="dxa" w:w="100"/>
              <w:bottom w:type="dxa" w:w="60"/>
              <w:right w:type="dxa" w:w="100"/>
            </w:tcMar>
          </w:tcPr>
          <w:p>
            <w:pPr>
              <w:spacing w:after="0"/>
            </w:pPr>
            <w:r>
              <w:rPr>
                <w:sz w:val="19"/>
                <w:szCs w:val="19"/>
              </w:rPr>
              <w:t xml:space="preserve">3, 6, 11 (5, jos ulkoinen)</w:t>
            </w:r>
          </w:p>
        </w:tc>
        <w:tc>
          <w:tcPr>
            <w:tcW w:type="dxa" w:w="5975"/>
            <w:tcMar>
              <w:top w:type="dxa" w:w="60"/>
              <w:left w:type="dxa" w:w="100"/>
              <w:bottom w:type="dxa" w:w="60"/>
              <w:right w:type="dxa" w:w="100"/>
            </w:tcMar>
          </w:tcPr>
          <w:p>
            <w:pPr>
              <w:spacing w:after="0"/>
            </w:pPr>
            <w:r>
              <w:rPr>
                <w:sz w:val="19"/>
                <w:szCs w:val="19"/>
              </w:rPr>
              <w:t xml:space="preserve">Oman rajapinnan kutsu fetchillä, JSON → kaavion sarja tyypitettynä, lataus- ja virhetilat; uudelleenhaku vuosivalinnalla</w:t>
            </w:r>
          </w:p>
        </w:tc>
      </w:tr>
      <w:tr>
        <w:tc>
          <w:tcPr>
            <w:tcW w:type="dxa" w:w="2699"/>
            <w:tcMar>
              <w:top w:type="dxa" w:w="60"/>
              <w:left w:type="dxa" w:w="100"/>
              <w:bottom w:type="dxa" w:w="60"/>
              <w:right w:type="dxa" w:w="100"/>
            </w:tcMar>
          </w:tcPr>
          <w:p>
            <w:pPr>
              <w:spacing w:after="0"/>
            </w:pPr>
            <w:r>
              <w:rPr>
                <w:b/>
                <w:bCs/>
                <w:sz w:val="19"/>
                <w:szCs w:val="19"/>
              </w:rPr>
              <w:t xml:space="preserve">arvioi ohjelmiston tietoturvaa</w:t>
            </w:r>
          </w:p>
        </w:tc>
        <w:tc>
          <w:tcPr>
            <w:tcW w:type="dxa" w:w="964"/>
            <w:tcMar>
              <w:top w:type="dxa" w:w="60"/>
              <w:left w:type="dxa" w:w="100"/>
              <w:bottom w:type="dxa" w:w="60"/>
              <w:right w:type="dxa" w:w="100"/>
            </w:tcMar>
          </w:tcPr>
          <w:p>
            <w:pPr>
              <w:spacing w:after="0"/>
            </w:pPr>
            <w:r>
              <w:rPr>
                <w:sz w:val="19"/>
                <w:szCs w:val="19"/>
              </w:rPr>
              <w:t xml:space="preserve">13</w:t>
            </w:r>
          </w:p>
        </w:tc>
        <w:tc>
          <w:tcPr>
            <w:tcW w:type="dxa" w:w="5975"/>
            <w:tcMar>
              <w:top w:type="dxa" w:w="60"/>
              <w:left w:type="dxa" w:w="100"/>
              <w:bottom w:type="dxa" w:w="60"/>
              <w:right w:type="dxa" w:w="100"/>
            </w:tcMar>
          </w:tcPr>
          <w:p>
            <w:pPr>
              <w:spacing w:after="0"/>
            </w:pPr>
            <w:r>
              <w:rPr>
                <w:sz w:val="19"/>
                <w:szCs w:val="19"/>
              </w:rPr>
              <w:t xml:space="preserve">Tietoturva-arvio uhkalistana (uhka → testi → tulos → toimenpide), T15 syötetaulukko curlilla, XSS-testi, salaisuudet poissa repositorysta</w:t>
            </w:r>
          </w:p>
        </w:tc>
      </w:tr>
      <w:tr>
        <w:tc>
          <w:tcPr>
            <w:tcW w:type="dxa" w:w="2699"/>
            <w:tcMar>
              <w:top w:type="dxa" w:w="60"/>
              <w:left w:type="dxa" w:w="100"/>
              <w:bottom w:type="dxa" w:w="60"/>
              <w:right w:type="dxa" w:w="100"/>
            </w:tcMar>
          </w:tcPr>
          <w:p>
            <w:pPr>
              <w:spacing w:after="0"/>
            </w:pPr>
            <w:r>
              <w:rPr>
                <w:b/>
                <w:bCs/>
                <w:sz w:val="19"/>
                <w:szCs w:val="19"/>
              </w:rPr>
              <w:t xml:space="preserve">käyttää versionhallintaa</w:t>
            </w:r>
          </w:p>
        </w:tc>
        <w:tc>
          <w:tcPr>
            <w:tcW w:type="dxa" w:w="964"/>
            <w:tcMar>
              <w:top w:type="dxa" w:w="60"/>
              <w:left w:type="dxa" w:w="100"/>
              <w:bottom w:type="dxa" w:w="60"/>
              <w:right w:type="dxa" w:w="100"/>
            </w:tcMar>
          </w:tcPr>
          <w:p>
            <w:pPr>
              <w:spacing w:after="0"/>
            </w:pPr>
            <w:r>
              <w:rPr>
                <w:sz w:val="19"/>
                <w:szCs w:val="19"/>
              </w:rPr>
              <w:t xml:space="preserve">1→ (haarat 6→, koonti 11, 15)</w:t>
            </w:r>
          </w:p>
        </w:tc>
        <w:tc>
          <w:tcPr>
            <w:tcW w:type="dxa" w:w="5975"/>
            <w:tcMar>
              <w:top w:type="dxa" w:w="60"/>
              <w:left w:type="dxa" w:w="100"/>
              <w:bottom w:type="dxa" w:w="60"/>
              <w:right w:type="dxa" w:w="100"/>
            </w:tcMar>
          </w:tcPr>
          <w:p>
            <w:pPr>
              <w:spacing w:after="0"/>
            </w:pPr>
            <w:r>
              <w:rPr>
                <w:sz w:val="19"/>
                <w:szCs w:val="19"/>
              </w:rPr>
              <w:t xml:space="preserve">Git koko projektin ajan: commitit, etärepository, ominaisuushaarat, pull requestit, tagit</w:t>
            </w:r>
          </w:p>
        </w:tc>
      </w:tr>
      <w:tr>
        <w:tc>
          <w:tcPr>
            <w:tcW w:type="dxa" w:w="2699"/>
            <w:tcMar>
              <w:top w:type="dxa" w:w="60"/>
              <w:left w:type="dxa" w:w="100"/>
              <w:bottom w:type="dxa" w:w="60"/>
              <w:right w:type="dxa" w:w="100"/>
            </w:tcMar>
          </w:tcPr>
          <w:p>
            <w:pPr>
              <w:spacing w:after="0"/>
            </w:pPr>
            <w:r>
              <w:rPr>
                <w:b/>
                <w:bCs/>
                <w:sz w:val="19"/>
                <w:szCs w:val="19"/>
              </w:rPr>
              <w:t xml:space="preserve">liittää ohjelman osan olemassa olevaan versioon</w:t>
            </w:r>
          </w:p>
        </w:tc>
        <w:tc>
          <w:tcPr>
            <w:tcW w:type="dxa" w:w="964"/>
            <w:tcMar>
              <w:top w:type="dxa" w:w="60"/>
              <w:left w:type="dxa" w:w="100"/>
              <w:bottom w:type="dxa" w:w="60"/>
              <w:right w:type="dxa" w:w="100"/>
            </w:tcMar>
          </w:tcPr>
          <w:p>
            <w:pPr>
              <w:spacing w:after="0"/>
            </w:pPr>
            <w:r>
              <w:rPr>
                <w:sz w:val="19"/>
                <w:szCs w:val="19"/>
              </w:rPr>
              <w:t xml:space="preserve">11</w:t>
            </w:r>
          </w:p>
        </w:tc>
        <w:tc>
          <w:tcPr>
            <w:tcW w:type="dxa" w:w="5975"/>
            <w:tcMar>
              <w:top w:type="dxa" w:w="60"/>
              <w:left w:type="dxa" w:w="100"/>
              <w:bottom w:type="dxa" w:w="60"/>
              <w:right w:type="dxa" w:w="100"/>
            </w:tcMar>
          </w:tcPr>
          <w:p>
            <w:pPr>
              <w:spacing w:after="0"/>
            </w:pPr>
            <w:r>
              <w:rPr>
                <w:sz w:val="19"/>
                <w:szCs w:val="19"/>
              </w:rPr>
              <w:t xml:space="preserve">Palautemuutos ja vuosivalinta kahdessa haarassa, pull requestit, merge-konfliktin ratkaisu, yhdistäminen pääversioon</w:t>
            </w:r>
          </w:p>
        </w:tc>
      </w:tr>
      <w:tr>
        <w:tc>
          <w:tcPr>
            <w:tcW w:type="dxa" w:w="2699"/>
            <w:tcMar>
              <w:top w:type="dxa" w:w="60"/>
              <w:left w:type="dxa" w:w="100"/>
              <w:bottom w:type="dxa" w:w="60"/>
              <w:right w:type="dxa" w:w="100"/>
            </w:tcMar>
          </w:tcPr>
          <w:p>
            <w:pPr>
              <w:spacing w:after="0"/>
            </w:pPr>
            <w:r>
              <w:rPr>
                <w:b/>
                <w:bCs/>
                <w:sz w:val="19"/>
                <w:szCs w:val="19"/>
              </w:rPr>
              <w:t xml:space="preserve">julkaisee ohjelman tuotantoympäristöön</w:t>
            </w:r>
          </w:p>
        </w:tc>
        <w:tc>
          <w:tcPr>
            <w:tcW w:type="dxa" w:w="964"/>
            <w:tcMar>
              <w:top w:type="dxa" w:w="60"/>
              <w:left w:type="dxa" w:w="100"/>
              <w:bottom w:type="dxa" w:w="60"/>
              <w:right w:type="dxa" w:w="100"/>
            </w:tcMar>
          </w:tcPr>
          <w:p>
            <w:pPr>
              <w:spacing w:after="0"/>
            </w:pPr>
            <w:r>
              <w:rPr>
                <w:sz w:val="19"/>
                <w:szCs w:val="19"/>
              </w:rPr>
              <w:t xml:space="preserve">3, 16, 17</w:t>
            </w:r>
          </w:p>
        </w:tc>
        <w:tc>
          <w:tcPr>
            <w:tcW w:type="dxa" w:w="5975"/>
            <w:tcMar>
              <w:top w:type="dxa" w:w="60"/>
              <w:left w:type="dxa" w:w="100"/>
              <w:bottom w:type="dxa" w:w="60"/>
              <w:right w:type="dxa" w:w="100"/>
            </w:tcMar>
          </w:tcPr>
          <w:p>
            <w:pPr>
              <w:spacing w:after="0"/>
            </w:pPr>
            <w:r>
              <w:rPr>
                <w:sz w:val="19"/>
                <w:szCs w:val="19"/>
              </w:rPr>
              <w:t xml:space="preserve">Julkaisu valittuun alustaan: ensijulkaisu, julkaisuehdokas v1.0-rc1 ja v1.0 julkisessa osoitteessa</w:t>
            </w:r>
          </w:p>
        </w:tc>
      </w:tr>
    </w:tbl>
    <w:p>
      <w:pPr>
        <w:spacing w:after="120" w:before="0"/>
      </w:pPr>
      <w:r>
        <w:rPr>
          <w:sz w:val="21"/>
          <w:szCs w:val="21"/>
        </w:rPr>
      </w:r>
    </w:p>
    <w:p>
      <w:pPr>
        <w:pStyle w:val="Heading2"/>
        <w:spacing w:before="260" w:after="120"/>
      </w:pPr>
      <w:r>
        <w:rPr>
          <w:b/>
          <w:bCs/>
          <w:color w:val="9a3412"/>
        </w:rPr>
        <w:t xml:space="preserve">Ohjelmiston toteuttaminen ohjelmistokomponenttikirjastolla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dece3" w:val="clear"/>
            <w:tcMar>
              <w:top w:type="dxa" w:w="60"/>
              <w:left w:type="dxa" w:w="100"/>
              <w:bottom w:type="dxa" w:w="60"/>
              <w:right w:type="dxa" w:w="100"/>
            </w:tcMar>
          </w:tcPr>
          <w:p>
            <w:pPr>
              <w:spacing w:after="0"/>
            </w:pPr>
            <w:r>
              <w:rPr>
                <w:b/>
                <w:bCs/>
                <w:sz w:val="19"/>
                <w:szCs w:val="19"/>
              </w:rPr>
              <w:t xml:space="preserve">Arvioinnin kohde</w:t>
            </w:r>
          </w:p>
        </w:tc>
        <w:tc>
          <w:tcPr>
            <w:tcW w:type="dxa" w:w="964"/>
            <w:shd w:fill="fdece3" w:val="clear"/>
            <w:tcMar>
              <w:top w:type="dxa" w:w="60"/>
              <w:left w:type="dxa" w:w="100"/>
              <w:bottom w:type="dxa" w:w="60"/>
              <w:right w:type="dxa" w:w="100"/>
            </w:tcMar>
          </w:tcPr>
          <w:p>
            <w:pPr>
              <w:spacing w:after="0"/>
            </w:pPr>
            <w:r>
              <w:rPr>
                <w:b/>
                <w:bCs/>
                <w:sz w:val="19"/>
                <w:szCs w:val="19"/>
              </w:rPr>
              <w:t xml:space="preserve">Vko</w:t>
            </w:r>
          </w:p>
        </w:tc>
        <w:tc>
          <w:tcPr>
            <w:tcW w:type="dxa" w:w="5975"/>
            <w:shd w:fill="fdece3"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ottaa käyttöön ja konfiguroi ohjelmistokomponenttikirjaston käyttöön soveltuvan kehittämisympäristön</w:t>
            </w:r>
          </w:p>
        </w:tc>
        <w:tc>
          <w:tcPr>
            <w:tcW w:type="dxa" w:w="964"/>
            <w:tcMar>
              <w:top w:type="dxa" w:w="60"/>
              <w:left w:type="dxa" w:w="100"/>
              <w:bottom w:type="dxa" w:w="60"/>
              <w:right w:type="dxa" w:w="100"/>
            </w:tcMar>
          </w:tcPr>
          <w:p>
            <w:pPr>
              <w:spacing w:after="0"/>
            </w:pPr>
            <w:r>
              <w:rPr>
                <w:sz w:val="19"/>
                <w:szCs w:val="19"/>
              </w:rPr>
              <w:t xml:space="preserve">1, 3, 7</w:t>
            </w:r>
          </w:p>
        </w:tc>
        <w:tc>
          <w:tcPr>
            <w:tcW w:type="dxa" w:w="5975"/>
            <w:tcMar>
              <w:top w:type="dxa" w:w="60"/>
              <w:left w:type="dxa" w:w="100"/>
              <w:bottom w:type="dxa" w:w="60"/>
              <w:right w:type="dxa" w:w="100"/>
            </w:tcMar>
          </w:tcPr>
          <w:p>
            <w:pPr>
              <w:spacing w:after="0"/>
            </w:pPr>
            <w:r>
              <w:rPr>
                <w:sz w:val="19"/>
                <w:szCs w:val="19"/>
              </w:rPr>
              <w:t xml:space="preserve">React + TypeScript + Vite -projektin luonti; Viten proxy ja tuotantobuildin asetukset; Tailwindin konfigurointi</w:t>
            </w:r>
          </w:p>
        </w:tc>
      </w:tr>
      <w:tr>
        <w:tc>
          <w:tcPr>
            <w:tcW w:type="dxa" w:w="2699"/>
            <w:tcMar>
              <w:top w:type="dxa" w:w="60"/>
              <w:left w:type="dxa" w:w="100"/>
              <w:bottom w:type="dxa" w:w="60"/>
              <w:right w:type="dxa" w:w="100"/>
            </w:tcMar>
          </w:tcPr>
          <w:p>
            <w:pPr>
              <w:spacing w:after="0"/>
            </w:pPr>
            <w:r>
              <w:rPr>
                <w:b/>
                <w:bCs/>
                <w:sz w:val="19"/>
                <w:szCs w:val="19"/>
              </w:rPr>
              <w:t xml:space="preserve">selvittää ohjelmistokomponenttikirjaston tarjoamat mahdollisuudet ja rajoitteet</w:t>
            </w:r>
          </w:p>
        </w:tc>
        <w:tc>
          <w:tcPr>
            <w:tcW w:type="dxa" w:w="964"/>
            <w:tcMar>
              <w:top w:type="dxa" w:w="60"/>
              <w:left w:type="dxa" w:w="100"/>
              <w:bottom w:type="dxa" w:w="60"/>
              <w:right w:type="dxa" w:w="100"/>
            </w:tcMar>
          </w:tcPr>
          <w:p>
            <w:pPr>
              <w:spacing w:after="0"/>
            </w:pPr>
            <w:r>
              <w:rPr>
                <w:sz w:val="19"/>
                <w:szCs w:val="19"/>
              </w:rPr>
              <w:t xml:space="preserve">3 (täydentyy 8, 12)</w:t>
            </w:r>
          </w:p>
        </w:tc>
        <w:tc>
          <w:tcPr>
            <w:tcW w:type="dxa" w:w="5975"/>
            <w:tcMar>
              <w:top w:type="dxa" w:w="60"/>
              <w:left w:type="dxa" w:w="100"/>
              <w:bottom w:type="dxa" w:w="60"/>
              <w:right w:type="dxa" w:w="100"/>
            </w:tcMar>
          </w:tcPr>
          <w:p>
            <w:pPr>
              <w:spacing w:after="0"/>
            </w:pPr>
            <w:r>
              <w:rPr>
                <w:sz w:val="19"/>
                <w:szCs w:val="19"/>
              </w:rPr>
              <w:t xml:space="preserve">Selvitystaulukko omista P0-tarinoista: mikä Reactilla ja Vitellä, mikä ulkopuolelta, mistä; kaaviokirjaston näppäimistörajoite ja kiertoreitti</w:t>
            </w:r>
          </w:p>
        </w:tc>
      </w:tr>
      <w:tr>
        <w:tc>
          <w:tcPr>
            <w:tcW w:type="dxa" w:w="2699"/>
            <w:tcMar>
              <w:top w:type="dxa" w:w="60"/>
              <w:left w:type="dxa" w:w="100"/>
              <w:bottom w:type="dxa" w:w="60"/>
              <w:right w:type="dxa" w:w="100"/>
            </w:tcMar>
          </w:tcPr>
          <w:p>
            <w:pPr>
              <w:spacing w:after="0"/>
            </w:pPr>
            <w:r>
              <w:rPr>
                <w:b/>
                <w:bCs/>
                <w:sz w:val="19"/>
                <w:szCs w:val="19"/>
              </w:rPr>
              <w:t xml:space="preserve">käyttää ohjelmistokomponenttikirjaston tärkeimpiä toimintoja ja työkaluja</w:t>
            </w:r>
          </w:p>
        </w:tc>
        <w:tc>
          <w:tcPr>
            <w:tcW w:type="dxa" w:w="964"/>
            <w:tcMar>
              <w:top w:type="dxa" w:w="60"/>
              <w:left w:type="dxa" w:w="100"/>
              <w:bottom w:type="dxa" w:w="60"/>
              <w:right w:type="dxa" w:w="100"/>
            </w:tcMar>
          </w:tcPr>
          <w:p>
            <w:pPr>
              <w:spacing w:after="0"/>
            </w:pPr>
            <w:r>
              <w:rPr>
                <w:sz w:val="19"/>
                <w:szCs w:val="19"/>
              </w:rPr>
              <w:t xml:space="preserve">3, 6–8, 11–12</w:t>
            </w:r>
          </w:p>
        </w:tc>
        <w:tc>
          <w:tcPr>
            <w:tcW w:type="dxa" w:w="5975"/>
            <w:tcMar>
              <w:top w:type="dxa" w:w="60"/>
              <w:left w:type="dxa" w:w="100"/>
              <w:bottom w:type="dxa" w:w="60"/>
              <w:right w:type="dxa" w:w="100"/>
            </w:tcMar>
          </w:tcPr>
          <w:p>
            <w:pPr>
              <w:spacing w:after="0"/>
            </w:pPr>
            <w:r>
              <w:rPr>
                <w:sz w:val="19"/>
                <w:szCs w:val="19"/>
              </w:rPr>
              <w:t xml:space="preserve">Komponentit, propsit, tila ja hookit (useState, useEffect, oma useLocations), ehdollinen renderöinti, lomakkeen käsittely</w:t>
            </w:r>
          </w:p>
        </w:tc>
      </w:tr>
      <w:tr>
        <w:tc>
          <w:tcPr>
            <w:tcW w:type="dxa" w:w="2699"/>
            <w:tcMar>
              <w:top w:type="dxa" w:w="60"/>
              <w:left w:type="dxa" w:w="100"/>
              <w:bottom w:type="dxa" w:w="60"/>
              <w:right w:type="dxa" w:w="100"/>
            </w:tcMar>
          </w:tcPr>
          <w:p>
            <w:pPr>
              <w:spacing w:after="0"/>
            </w:pPr>
            <w:r>
              <w:rPr>
                <w:b/>
                <w:bCs/>
                <w:sz w:val="19"/>
                <w:szCs w:val="19"/>
              </w:rPr>
              <w:t xml:space="preserve">tuo kehittämisympäristöön ulkoisia komponentteja</w:t>
            </w:r>
          </w:p>
        </w:tc>
        <w:tc>
          <w:tcPr>
            <w:tcW w:type="dxa" w:w="964"/>
            <w:tcMar>
              <w:top w:type="dxa" w:w="60"/>
              <w:left w:type="dxa" w:w="100"/>
              <w:bottom w:type="dxa" w:w="60"/>
              <w:right w:type="dxa" w:w="100"/>
            </w:tcMar>
          </w:tcPr>
          <w:p>
            <w:pPr>
              <w:spacing w:after="0"/>
            </w:pPr>
            <w:r>
              <w:rPr>
                <w:sz w:val="19"/>
                <w:szCs w:val="19"/>
              </w:rPr>
              <w:t xml:space="preserve">6, 7</w:t>
            </w:r>
          </w:p>
        </w:tc>
        <w:tc>
          <w:tcPr>
            <w:tcW w:type="dxa" w:w="5975"/>
            <w:tcMar>
              <w:top w:type="dxa" w:w="60"/>
              <w:left w:type="dxa" w:w="100"/>
              <w:bottom w:type="dxa" w:w="60"/>
              <w:right w:type="dxa" w:w="100"/>
            </w:tcMar>
          </w:tcPr>
          <w:p>
            <w:pPr>
              <w:spacing w:after="0"/>
            </w:pPr>
            <w:r>
              <w:rPr>
                <w:sz w:val="19"/>
                <w:szCs w:val="19"/>
              </w:rPr>
              <w:t xml:space="preserve">Kaksi perusteltua ulkoista komponenttia: kaaviokirjasto (vertailu kokeilusarakkeella) ja Tailwind CSS (mitä ratkaisee lomakkeessa ja listassa)</w:t>
            </w:r>
          </w:p>
        </w:tc>
      </w:tr>
      <w:tr>
        <w:tc>
          <w:tcPr>
            <w:tcW w:type="dxa" w:w="2699"/>
            <w:tcMar>
              <w:top w:type="dxa" w:w="60"/>
              <w:left w:type="dxa" w:w="100"/>
              <w:bottom w:type="dxa" w:w="60"/>
              <w:right w:type="dxa" w:w="100"/>
            </w:tcMar>
          </w:tcPr>
          <w:p>
            <w:pPr>
              <w:spacing w:after="0"/>
            </w:pPr>
            <w:r>
              <w:rPr>
                <w:b/>
                <w:bCs/>
                <w:sz w:val="19"/>
                <w:szCs w:val="19"/>
              </w:rPr>
              <w:t xml:space="preserve">suunnittelee, toteuttaa ja testaa ohjelmiston ohjelmistokomponenttikirjastoa käyttäen</w:t>
            </w:r>
          </w:p>
        </w:tc>
        <w:tc>
          <w:tcPr>
            <w:tcW w:type="dxa" w:w="964"/>
            <w:tcMar>
              <w:top w:type="dxa" w:w="60"/>
              <w:left w:type="dxa" w:w="100"/>
              <w:bottom w:type="dxa" w:w="60"/>
              <w:right w:type="dxa" w:w="100"/>
            </w:tcMar>
          </w:tcPr>
          <w:p>
            <w:pPr>
              <w:spacing w:after="0"/>
            </w:pPr>
            <w:r>
              <w:rPr>
                <w:sz w:val="19"/>
                <w:szCs w:val="19"/>
              </w:rPr>
              <w:t xml:space="preserve">2, 6–9, 11–12, 14</w:t>
            </w:r>
          </w:p>
        </w:tc>
        <w:tc>
          <w:tcPr>
            <w:tcW w:type="dxa" w:w="5975"/>
            <w:tcMar>
              <w:top w:type="dxa" w:w="60"/>
              <w:left w:type="dxa" w:w="100"/>
              <w:bottom w:type="dxa" w:w="60"/>
              <w:right w:type="dxa" w:w="100"/>
            </w:tcMar>
          </w:tcPr>
          <w:p>
            <w:pPr>
              <w:spacing w:after="0"/>
            </w:pPr>
            <w:r>
              <w:rPr>
                <w:sz w:val="19"/>
                <w:szCs w:val="19"/>
              </w:rPr>
              <w:t xml:space="preserve">Komponenttijako suunnitelmassa; sovellus toteutettu Reactilla käyttäjätarinoiden mukaan; omat ja kirjastoon liittyvät ratkaisut testattuina</w:t>
            </w:r>
          </w:p>
        </w:tc>
      </w:tr>
      <w:tr>
        <w:tc>
          <w:tcPr>
            <w:tcW w:type="dxa" w:w="2699"/>
            <w:tcMar>
              <w:top w:type="dxa" w:w="60"/>
              <w:left w:type="dxa" w:w="100"/>
              <w:bottom w:type="dxa" w:w="60"/>
              <w:right w:type="dxa" w:w="100"/>
            </w:tcMar>
          </w:tcPr>
          <w:p>
            <w:pPr>
              <w:spacing w:after="0"/>
            </w:pPr>
            <w:r>
              <w:rPr>
                <w:b/>
                <w:bCs/>
                <w:sz w:val="19"/>
                <w:szCs w:val="19"/>
              </w:rPr>
              <w:t xml:space="preserve">julkaisee ohjelmiston asiakkaan ympäristöön</w:t>
            </w:r>
          </w:p>
        </w:tc>
        <w:tc>
          <w:tcPr>
            <w:tcW w:type="dxa" w:w="964"/>
            <w:tcMar>
              <w:top w:type="dxa" w:w="60"/>
              <w:left w:type="dxa" w:w="100"/>
              <w:bottom w:type="dxa" w:w="60"/>
              <w:right w:type="dxa" w:w="100"/>
            </w:tcMar>
          </w:tcPr>
          <w:p>
            <w:pPr>
              <w:spacing w:after="0"/>
            </w:pPr>
            <w:r>
              <w:rPr>
                <w:sz w:val="19"/>
                <w:szCs w:val="19"/>
              </w:rPr>
              <w:t xml:space="preserve">3, 16, 17</w:t>
            </w:r>
          </w:p>
        </w:tc>
        <w:tc>
          <w:tcPr>
            <w:tcW w:type="dxa" w:w="5975"/>
            <w:tcMar>
              <w:top w:type="dxa" w:w="60"/>
              <w:left w:type="dxa" w:w="100"/>
              <w:bottom w:type="dxa" w:w="60"/>
              <w:right w:type="dxa" w:w="100"/>
            </w:tcMar>
          </w:tcPr>
          <w:p>
            <w:pPr>
              <w:spacing w:after="0"/>
            </w:pPr>
            <w:r>
              <w:rPr>
                <w:sz w:val="19"/>
                <w:szCs w:val="19"/>
              </w:rPr>
              <w:t xml:space="preserve">Viten tuotantobuild ja PHP-rajapinta julkaistuna sovittuun alustaan: ensijulkaisu, v1.0-rc1 tagilla, v1.0</w:t>
            </w:r>
          </w:p>
        </w:tc>
      </w:tr>
      <w:tr>
        <w:tc>
          <w:tcPr>
            <w:tcW w:type="dxa" w:w="2699"/>
            <w:tcMar>
              <w:top w:type="dxa" w:w="60"/>
              <w:left w:type="dxa" w:w="100"/>
              <w:bottom w:type="dxa" w:w="60"/>
              <w:right w:type="dxa" w:w="100"/>
            </w:tcMar>
          </w:tcPr>
          <w:p>
            <w:pPr>
              <w:spacing w:after="0"/>
            </w:pPr>
            <w:r>
              <w:rPr>
                <w:b/>
                <w:bCs/>
                <w:sz w:val="19"/>
                <w:szCs w:val="19"/>
              </w:rPr>
              <w:t xml:space="preserve">dokumentoi ohjelmiston sovitulla tavalla</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README: käyttöönotto tyhjään ympäristöön, kehityskomennot, rajapinnan kuvaus esimerkkivastauksella, riippuvuustaulukko lisensseineen; testataan työviikolla 16</w:t>
            </w:r>
          </w:p>
        </w:tc>
      </w:tr>
    </w:tbl>
    <w:p>
      <w:pPr>
        <w:spacing w:after="120" w:before="0"/>
      </w:pPr>
      <w:r>
        <w:rPr>
          <w:sz w:val="21"/>
          <w:szCs w:val="21"/>
        </w:rPr>
      </w:r>
    </w:p>
    <w:p>
      <w:r>
        <w:br w:type="page"/>
      </w:r>
    </w:p>
    <w:p>
      <w:pPr>
        <w:pStyle w:val="Heading1"/>
        <w:spacing w:before="320" w:after="160"/>
      </w:pPr>
      <w:r>
        <w:rPr>
          <w:b/>
          <w:bCs/>
          <w:color w:val="9a3412"/>
        </w:rPr>
        <w:t xml:space="preserve">5 · Dokumentaatio ja sen kohdeyleisö</w:t>
      </w:r>
    </w:p>
    <w:p>
      <w:pPr>
        <w:spacing w:after="120" w:before="0"/>
      </w:pPr>
      <w:r>
        <w:rPr>
          <w:b/>
          <w:bCs/>
          <w:sz w:val="21"/>
          <w:szCs w:val="21"/>
        </w:rPr>
        <w:t xml:space="preserve">Dokumentaatio tehdään käyttäjille, ei arviointia varten. Arviointiaineisto on erillinen.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fdece3" w:val="clear"/>
            <w:tcMar>
              <w:top w:type="dxa" w:w="60"/>
              <w:left w:type="dxa" w:w="100"/>
              <w:bottom w:type="dxa" w:w="60"/>
              <w:right w:type="dxa" w:w="100"/>
            </w:tcMar>
          </w:tcPr>
          <w:p>
            <w:pPr>
              <w:spacing w:after="0"/>
            </w:pPr>
            <w:r>
              <w:rPr>
                <w:b/>
                <w:bCs/>
                <w:sz w:val="19"/>
                <w:szCs w:val="19"/>
              </w:rPr>
              <w:t xml:space="preserve">Käyttäjälle</w:t>
            </w:r>
          </w:p>
        </w:tc>
        <w:tc>
          <w:tcPr>
            <w:tcW w:type="dxa" w:w="6747"/>
            <w:shd w:fill="fdece3" w:val="clear"/>
            <w:tcMar>
              <w:top w:type="dxa" w:w="60"/>
              <w:left w:type="dxa" w:w="100"/>
              <w:bottom w:type="dxa" w:w="60"/>
              <w:right w:type="dxa" w:w="100"/>
            </w:tcMar>
          </w:tcPr>
          <w:p>
            <w:pPr>
              <w:spacing w:after="0"/>
            </w:pPr>
            <w:r>
              <w:rPr>
                <w:b/>
                <w:bCs/>
                <w:sz w:val="19"/>
                <w:szCs w:val="19"/>
              </w:rPr>
              <w:t xml:space="preserve">Arviointiin</w:t>
            </w:r>
          </w:p>
        </w:tc>
      </w:tr>
      <w:tr>
        <w:tc>
          <w:tcPr>
            <w:tcW w:type="dxa" w:w="2891"/>
            <w:tcMar>
              <w:top w:type="dxa" w:w="60"/>
              <w:left w:type="dxa" w:w="100"/>
              <w:bottom w:type="dxa" w:w="60"/>
              <w:right w:type="dxa" w:w="100"/>
            </w:tcMar>
          </w:tcPr>
          <w:p>
            <w:pPr>
              <w:spacing w:after="0"/>
            </w:pPr>
            <w:r>
              <w:rPr>
                <w:sz w:val="19"/>
                <w:szCs w:val="19"/>
              </w:rPr>
              <w:t xml:space="preserve">README kahdessa osassa: käyttöönotto tyhjään ympäristöön askel askeleelta (PHP, Node, kloonaus, riippuvuudet, build, käynnistys, portit) sekä kehittäjälle kansiorakenne, kehityskomennot, testien ajo ja rajapinnan kuvaus esimerkkipyynnöllä ja -vastauksella. Lisäksi asiakkaan pikaohje luovutusviestissä. Kirjoitetaan käyttäjälle, ei arvioijalle.</w:t>
            </w:r>
          </w:p>
        </w:tc>
        <w:tc>
          <w:tcPr>
            <w:tcW w:type="dxa" w:w="6747"/>
            <w:tcMar>
              <w:top w:type="dxa" w:w="60"/>
              <w:left w:type="dxa" w:w="100"/>
              <w:bottom w:type="dxa" w:w="60"/>
              <w:right w:type="dxa" w:w="100"/>
            </w:tcMar>
          </w:tcPr>
          <w:p>
            <w:pPr>
              <w:spacing w:after="0"/>
            </w:pPr>
            <w:r>
              <w:rPr>
                <w:sz w:val="19"/>
                <w:szCs w:val="19"/>
              </w:rPr>
              <w:t xml:space="preserve">Projektipäiväkirja, AI-loki, tekninen suunnitelma ja rajapintasopimus, vertailutaulukot (työviikko 2), selvitystaulukko (3), katselmointimuistio (10), tietoturva-arvio (13), testiraportti ja virheenkorjausketjut (14), refaktorointimuistio (15), asennus- ja julkaisutestauspöytäkirjat (16), julkaisutiedote ja luovutusviesti kysymyksineen (17) sekä täsmälinkitetty näyttömatriisi project-docs/nayttomatriisi.md ja itsearviointi (18).</w:t>
            </w:r>
          </w:p>
        </w:tc>
      </w:tr>
    </w:tbl>
    <w:p>
      <w:pPr>
        <w:spacing w:after="120" w:before="120"/>
      </w:pPr>
      <w:r>
        <w:rPr>
          <w:sz w:val="21"/>
          <w:szCs w:val="21"/>
        </w:rPr>
        <w:t xml:space="preserve">Käyttöönotto-ohjeen kovavaatimus: ulkopuolinen henkilö saa sovelluksen käyttöön pelkän kirjallisen ohjeen avulla ilman suullista apua. Tämä testataan työviikolla 16 kahdessa vaiheessa: ensin opiskelija itse puhtaassa ympäristössä, sitten ulkopuolinen julkaistulla julkaisuehdokkaalla.</w:t>
      </w:r>
    </w:p>
    <w:p>
      <w:pPr>
        <w:pStyle w:val="Heading1"/>
        <w:spacing w:before="320" w:after="160"/>
      </w:pPr>
      <w:r>
        <w:rPr>
          <w:b/>
          <w:bCs/>
          <w:color w:val="9a3412"/>
        </w:rPr>
        <w:t xml:space="preserve">6 · Tekoälyn käyttö</w:t>
      </w:r>
    </w:p>
    <w:p>
      <w:pPr>
        <w:spacing w:after="120" w:before="0"/>
      </w:pPr>
      <w:r>
        <w:rPr>
          <w:sz w:val="21"/>
          <w:szCs w:val="21"/>
        </w:rPr>
        <w:t xml:space="preserve">Tekoäly on sallittu apuväline: se saa selittää virheilmoituksia, ehdottaa testitapauksia, tarkistaa koodia ja auttaa dokumentaation kielessä. Jokainen merkittävä käyttö kirjataan AI-lokiin, jossa on kysymys, mitä käytettiin tai hylättiin, miten tarkistettiin ja aineistoviite.</w:t>
      </w:r>
    </w:p>
    <w:p>
      <w:pPr>
        <w:spacing w:after="120" w:before="0"/>
      </w:pPr>
      <w:r>
        <w:rPr>
          <w:sz w:val="21"/>
          <w:szCs w:val="21"/>
        </w:rPr>
        <w:t xml:space="preserve">Ydin tehdään itse: Daylight-laskentamoduuli, intersections.ts, useLocations-hook, komponenttijako, testien odotusarvot, saavutettavuusratkaisut ja CSS. Näitä näyttö nimenomaan arvioi, joten valmiiksi generoitu ratkaisu ilman omaa ymmärrystä ei ole työnäyte.</w:t>
      </w:r>
    </w:p>
    <w:p>
      <w:pPr>
        <w:spacing w:after="120" w:before="0"/>
      </w:pPr>
      <w:r>
        <w:rPr>
          <w:sz w:val="21"/>
          <w:szCs w:val="21"/>
        </w:rPr>
        <w:t xml:space="preserve">Viikot on rakennettu niin, ettei niitä voi suorittaa kielimallilla: työviikot 10, 16 ja 17 vaativat nimetyn ulkopuolisen ihmisen omine sanoineen, työviikot 3, 16 ja 17 oman julkisen osoitteen ja alustan lokit, työviikot 4, 5 ja 14 omat testiajot haetuilla odotusarvoilla, työviikko 12 mittausraportit omalta laitteelta ja jokainen viikko kirjatun viikkopalaverin ohjaajan kanssa. Viikkorunko on tarkistettu pedagogisesti kahdella kierroksella ennen kirjoittamista.</w:t>
      </w:r>
    </w:p>
    <w:p>
      <w:pPr>
        <w:pStyle w:val="Heading1"/>
        <w:spacing w:before="320" w:after="160"/>
      </w:pPr>
      <w:r>
        <w:rPr>
          <w:b/>
          <w:bCs/>
          <w:color w:val="9a3412"/>
        </w:rPr>
        <w:t xml:space="preserve">7 · Palautuspaketti</w:t>
      </w:r>
    </w:p>
    <w:p>
      <w:pPr>
        <w:spacing w:after="20" w:before="0"/>
      </w:pPr>
      <w:r>
        <w:rPr>
          <w:b/>
          <w:bCs/>
          <w:sz w:val="21"/>
          <w:szCs w:val="21"/>
        </w:rPr>
        <w:t xml:space="preserve">Julkaistu tuotos</w:t>
      </w:r>
    </w:p>
    <w:p>
      <w:pPr>
        <w:spacing w:after="120" w:before="0"/>
      </w:pPr>
      <w:r>
        <w:rPr>
          <w:color w:val="555555"/>
          <w:sz w:val="20"/>
          <w:szCs w:val="20"/>
        </w:rPr>
        <w:t xml:space="preserve">v1.0 julkisessa osoitteessa, Git-tag v1.0 ja release; julkaisutiedote ja luovutusviesti repositoryssa.</w:t>
      </w:r>
    </w:p>
    <w:p>
      <w:pPr>
        <w:spacing w:after="20" w:before="0"/>
      </w:pPr>
      <w:r>
        <w:rPr>
          <w:b/>
          <w:bCs/>
          <w:sz w:val="21"/>
          <w:szCs w:val="21"/>
        </w:rPr>
        <w:t xml:space="preserve">Repository</w:t>
      </w:r>
    </w:p>
    <w:p>
      <w:pPr>
        <w:spacing w:after="120" w:before="0"/>
      </w:pPr>
      <w:r>
        <w:rPr>
          <w:color w:val="555555"/>
          <w:sz w:val="20"/>
          <w:szCs w:val="20"/>
        </w:rPr>
        <w:t xml:space="preserve">Julkinen repository, jossa client/, server/ ja project-docs/ sekä koko commit-historia haaroineen, pull requesteineen ja tageineen.</w:t>
      </w:r>
    </w:p>
    <w:p>
      <w:pPr>
        <w:spacing w:after="20" w:before="0"/>
      </w:pPr>
      <w:r>
        <w:rPr>
          <w:b/>
          <w:bCs/>
          <w:sz w:val="21"/>
          <w:szCs w:val="21"/>
        </w:rPr>
        <w:t xml:space="preserve">Suunnitelma ja päiväkirja</w:t>
      </w:r>
    </w:p>
    <w:p>
      <w:pPr>
        <w:spacing w:after="120" w:before="0"/>
      </w:pPr>
      <w:r>
        <w:rPr>
          <w:color w:val="555555"/>
          <w:sz w:val="20"/>
          <w:szCs w:val="20"/>
        </w:rPr>
        <w:t xml:space="preserve">project-docs/suunnitelma.md, api-sopimus.md, projektipaivakirja.md ja ai-loki.md. Päiväkirjasta on commit joka viikolta.</w:t>
      </w:r>
    </w:p>
    <w:p>
      <w:pPr>
        <w:spacing w:after="20" w:before="0"/>
      </w:pPr>
      <w:r>
        <w:rPr>
          <w:b/>
          <w:bCs/>
          <w:sz w:val="21"/>
          <w:szCs w:val="21"/>
        </w:rPr>
        <w:t xml:space="preserve">Laatuaineisto</w:t>
      </w:r>
    </w:p>
    <w:p>
      <w:pPr>
        <w:spacing w:after="120" w:before="0"/>
      </w:pPr>
      <w:r>
        <w:rPr>
          <w:color w:val="555555"/>
          <w:sz w:val="20"/>
          <w:szCs w:val="20"/>
        </w:rPr>
        <w:t xml:space="preserve">Testiraportti (16 tapausta), kolme virheenkorjausketjua, tietoturva-arvio uhkalistalla, Lighthouse-raportit ennen ja jälkeen, refaktorointimuistio.</w:t>
      </w:r>
    </w:p>
    <w:p>
      <w:pPr>
        <w:spacing w:after="20" w:before="0"/>
      </w:pPr>
      <w:r>
        <w:rPr>
          <w:b/>
          <w:bCs/>
          <w:sz w:val="21"/>
          <w:szCs w:val="21"/>
        </w:rPr>
        <w:t xml:space="preserve">Katselmoinnit</w:t>
      </w:r>
    </w:p>
    <w:p>
      <w:pPr>
        <w:spacing w:after="120" w:before="0"/>
      </w:pPr>
      <w:r>
        <w:rPr>
          <w:color w:val="555555"/>
          <w:sz w:val="20"/>
          <w:szCs w:val="20"/>
        </w:rPr>
        <w:t xml:space="preserve">Katselmointimuistio (työviikko 10), asennuspöytäkirja ja julkaisutestauksen pöytäkirja (16), asiakkaan kysymys ja vastaus (17).</w:t>
      </w:r>
    </w:p>
    <w:p>
      <w:pPr>
        <w:spacing w:after="20" w:before="0"/>
      </w:pPr>
      <w:r>
        <w:rPr>
          <w:b/>
          <w:bCs/>
          <w:sz w:val="21"/>
          <w:szCs w:val="21"/>
        </w:rPr>
        <w:t xml:space="preserve">Näyttöaineisto</w:t>
      </w:r>
    </w:p>
    <w:p>
      <w:pPr>
        <w:spacing w:after="120" w:before="0"/>
      </w:pPr>
      <w:r>
        <w:rPr>
          <w:color w:val="555555"/>
          <w:sz w:val="20"/>
          <w:szCs w:val="20"/>
        </w:rPr>
        <w:t xml:space="preserve">Täsmälinkitetty näyttömatriisi project-docs/nayttomatriisi.md 32 vaatimukselle, demorunko ja itsearviointi ohjaajan vastakommentilla.</w:t>
      </w:r>
    </w:p>
    <w:p>
      <w:pPr>
        <w:spacing w:after="120" w:before="100"/>
      </w:pPr>
      <w:r>
        <w:rPr>
          <w:b/>
          <w:bCs/>
          <w:sz w:val="21"/>
          <w:szCs w:val="21"/>
        </w:rPr>
        <w:t xml:space="preserve">Luovutus viimeistään 18. työviikon perjantai.</w:t>
      </w:r>
    </w:p>
    <w:p>
      <w:pPr>
        <w:pStyle w:val="Heading1"/>
        <w:spacing w:before="320" w:after="160"/>
      </w:pPr>
      <w:r>
        <w:rPr>
          <w:b/>
          <w:bCs/>
          <w:color w:val="9a3412"/>
        </w:rPr>
        <w:t xml:space="preserve">8 · Huomioita opettajalle</w:t>
      </w:r>
    </w:p>
    <w:p>
      <w:pPr>
        <w:spacing w:after="20" w:before="0"/>
      </w:pPr>
      <w:r>
        <w:rPr>
          <w:b/>
          <w:bCs/>
          <w:sz w:val="21"/>
          <w:szCs w:val="21"/>
        </w:rPr>
        <w:t xml:space="preserve">Julkaisualusta ennen työviikkoa 1</w:t>
      </w:r>
    </w:p>
    <w:p>
      <w:pPr>
        <w:spacing w:after="140" w:before="0"/>
      </w:pPr>
      <w:r>
        <w:rPr>
          <w:color w:val="555555"/>
          <w:sz w:val="20"/>
          <w:szCs w:val="20"/>
        </w:rPr>
        <w:t xml:space="preserve">PHP:tä ei voi ajaa staattisilla alustoilla (GitHub Pages, Netlify). Ohjaaja valitsee alustan (esim. Render tai Fly.io Dockerfilella, Railway, oppilaitoksen PHP-palvelin), kokeilee sen itse PHP 8.2 + staattinen dist -yhdistelmällä ja antaa opiskelijalle testatun polun: build alustalla (Node-build → PHP), client/dist gitignoressa, automaattinen julkaisu main-haarasta, staattisten tiedostojen tarjoilu PHP:stä. Ilman tätä työviikkoa 3 ei voi tehdä, ja committattu dist tuottaa merkityksettömiä konflikteja jokaisessa haarassa työviikolta 6.</w:t>
      </w:r>
    </w:p>
    <w:p>
      <w:pPr>
        <w:spacing w:after="20" w:before="0"/>
      </w:pPr>
      <w:r>
        <w:rPr>
          <w:b/>
          <w:bCs/>
          <w:sz w:val="21"/>
          <w:szCs w:val="21"/>
        </w:rPr>
        <w:t xml:space="preserve">Kuntaluettelo varapolkuna työviikolle 5</w:t>
      </w:r>
    </w:p>
    <w:p>
      <w:pPr>
        <w:spacing w:after="140" w:before="0"/>
      </w:pPr>
      <w:r>
        <w:rPr>
          <w:color w:val="555555"/>
          <w:sz w:val="20"/>
          <w:szCs w:val="20"/>
        </w:rPr>
        <w:t xml:space="preserve">Suomen paikkakuntien koordinaatit avoimella lisenssillä eivät ole yhden latauksen takana. Ohjaaja valmistelee kuntaluettelon koordinaatteineen (noin 309 kuntaa, lähde ja lisenssi kirjattuna, esim. GeoNames CC BY 4.0) ja antaa sen opiskelijalle, jos oma hankinta ei valmistu tiistaihin mennessä. Opiskelijan tietovarastopäätös on muoto ja rakenne, ei datan hankinta.</w:t>
      </w:r>
    </w:p>
    <w:p>
      <w:pPr>
        <w:spacing w:after="20" w:before="0"/>
      </w:pPr>
      <w:r>
        <w:rPr>
          <w:b/>
          <w:bCs/>
          <w:sz w:val="21"/>
          <w:szCs w:val="21"/>
        </w:rPr>
        <w:t xml:space="preserve">Ohjaajan kuorma</w:t>
      </w:r>
    </w:p>
    <w:p>
      <w:pPr>
        <w:spacing w:after="140" w:before="0"/>
      </w:pPr>
      <w:r>
        <w:rPr>
          <w:color w:val="555555"/>
          <w:sz w:val="20"/>
          <w:szCs w:val="20"/>
        </w:rPr>
        <w:t xml:space="preserve">Runko lisää ohjaajalle: alustan testaus, kuntaluettelo, 10 min × opiskelija × 16 viikkoa, koodikatselmointi työviikolla 14, asiakasvastaus 17, vastakommentti 18, mahdollinen commit 11 ja kaksi katselmoijaa. Viikkopalaveri voi olla 3–4 opiskelijan ryhmäkierros, jossa jokaisen issuet kirjataan erikseen: kirjaus on työnäyte, ei kahdenkeskisyys. Ohjaaja lisätään repositoryn yhteistyökumppaniksi (collaborator) työviikolla 1.</w:t>
      </w:r>
    </w:p>
    <w:p>
      <w:pPr>
        <w:spacing w:after="20" w:before="0"/>
      </w:pPr>
      <w:r>
        <w:rPr>
          <w:b/>
          <w:bCs/>
          <w:sz w:val="21"/>
          <w:szCs w:val="21"/>
        </w:rPr>
        <w:t xml:space="preserve">Katselmoijat ja lisenssi työviikkoon 8 mennessä</w:t>
      </w:r>
    </w:p>
    <w:p>
      <w:pPr>
        <w:spacing w:after="140" w:before="0"/>
      </w:pPr>
      <w:r>
        <w:rPr>
          <w:color w:val="555555"/>
          <w:sz w:val="20"/>
          <w:szCs w:val="20"/>
        </w:rPr>
        <w:t xml:space="preserve">Työviikon 10 katselmoija ja työviikon 16 julkaisutestaaja nimetään viimeistään työviikolla 8, samoin lisenssipäätös, jotta LICENSE on repossa työviikolla 15. Asiakkaan roolia ei esitä opiskelijan oma ohjaava opettaja.</w:t>
      </w:r>
    </w:p>
    <w:p>
      <w:pPr>
        <w:spacing w:after="20" w:before="0"/>
      </w:pPr>
      <w:r>
        <w:rPr>
          <w:b/>
          <w:bCs/>
          <w:sz w:val="21"/>
          <w:szCs w:val="21"/>
        </w:rPr>
        <w:t xml:space="preserve">Työviikon 11 konflikti</w:t>
      </w:r>
    </w:p>
    <w:p>
      <w:pPr>
        <w:spacing w:after="140" w:before="0"/>
      </w:pPr>
      <w:r>
        <w:rPr>
          <w:color w:val="555555"/>
          <w:sz w:val="20"/>
          <w:szCs w:val="20"/>
        </w:rPr>
        <w:t xml:space="preserve">Konflikti syntyy vain, jos molemmat haarat luodaan maanantaina samasta main-commitista ja palautemuutos koskee useLocations-tiedostoa. Ohjaaja rajaa katselmoinnin tärkeimmän muutoksen työviikon 10 palaverissa enintään kahden päivän työksi. Jos muutos ei koske tilatiedostoa, ohjaaja tekee sovitun pienen commitin main-haaraan varareittinä; opiskelija ei saa yrittää väkisin ohjata muutosta tilatiedostoon.</w:t>
      </w:r>
    </w:p>
    <w:p>
      <w:pPr>
        <w:spacing w:after="20" w:before="0"/>
      </w:pPr>
      <w:r>
        <w:rPr>
          <w:b/>
          <w:bCs/>
          <w:sz w:val="21"/>
          <w:szCs w:val="21"/>
        </w:rPr>
        <w:t xml:space="preserve">Napapiirin laskenta-ansat ovat odotettuja</w:t>
      </w:r>
    </w:p>
    <w:p>
      <w:pPr>
        <w:spacing w:after="140" w:before="0"/>
      </w:pPr>
      <w:r>
        <w:rPr>
          <w:color w:val="555555"/>
          <w:sz w:val="20"/>
          <w:szCs w:val="20"/>
        </w:rPr>
        <w:t xml:space="preserve">Työviikon 4 ansat (acos-alueen ylitys, refraktio ja Rovaniemen 24 h, date_sun_info-funktion true/false-paluuarvot) ovat aitoja virheenkorjausketjujen raaka-aineita. Kerro opiskelijalle etukäteen, että virhe on odotettu eikä oma vika, ja vaadi bug-issue jokaisesta.</w:t>
      </w:r>
    </w:p>
    <w:p>
      <w:pPr>
        <w:spacing w:after="20" w:before="0"/>
      </w:pPr>
      <w:r>
        <w:rPr>
          <w:b/>
          <w:bCs/>
          <w:sz w:val="21"/>
          <w:szCs w:val="21"/>
        </w:rPr>
        <w:t xml:space="preserve">Aidot bugit, ei keksittyjä</w:t>
      </w:r>
    </w:p>
    <w:p>
      <w:pPr>
        <w:spacing w:after="140" w:before="0"/>
      </w:pPr>
      <w:r>
        <w:rPr>
          <w:color w:val="555555"/>
          <w:sz w:val="20"/>
          <w:szCs w:val="20"/>
        </w:rPr>
        <w:t xml:space="preserve">Virheenkorjausketjut kirjataan vain aidoista havainnoista bug-issuelistalta. Jos lista on tyhjä työviikkoon 14 mennessä, ohjaaja merkitsee vikatehtäviä, joista ketjut ajetaan.</w:t>
      </w:r>
    </w:p>
    <w:p>
      <w:pPr>
        <w:spacing w:after="20" w:before="0"/>
      </w:pPr>
      <w:r>
        <w:rPr>
          <w:b/>
          <w:bCs/>
          <w:sz w:val="21"/>
          <w:szCs w:val="21"/>
        </w:rPr>
        <w:t xml:space="preserve">Päivätön aikataulu</w:t>
      </w:r>
    </w:p>
    <w:p>
      <w:pPr>
        <w:spacing w:after="140" w:before="0"/>
      </w:pPr>
      <w:r>
        <w:rPr>
          <w:color w:val="555555"/>
          <w:sz w:val="20"/>
          <w:szCs w:val="20"/>
        </w:rPr>
        <w:t xml:space="preserve">Sivustolla ei ole kalenteripäivämääriä: viikot ovat työviikkoja 1–18 opiskelijan aloituksesta. Ryhmäkohtaiset päivämäärät sovitaan erikseen, esimerkiksi opintojakson omassa työtilassa.</w:t>
      </w:r>
    </w:p>
    <w:p>
      <w:pPr>
        <w:spacing w:after="20" w:before="0"/>
      </w:pPr>
      <w:r>
        <w:rPr>
          <w:b/>
          <w:bCs/>
          <w:sz w:val="21"/>
          <w:szCs w:val="21"/>
        </w:rPr>
        <w:t xml:space="preserve">Avoimet asiat pysyvät avoimina</w:t>
      </w:r>
    </w:p>
    <w:p>
      <w:pPr>
        <w:spacing w:after="140" w:before="0"/>
      </w:pPr>
      <w:r>
        <w:rPr>
          <w:color w:val="555555"/>
          <w:sz w:val="20"/>
          <w:szCs w:val="20"/>
        </w:rPr>
        <w:t xml:space="preserve">Julkaisualusta, lisenssi, repositoryn julkisuus ja tekijänimi, alaikäisen huoltajan suostumus, katselmoijien roolit, perusteversion siirtymäsääntö ja arvioinnin järjestelyt ovat ohjaajan päätöksiä. Tyhjä kenttä suunnitelmassa on oikea tulos siihen asti, kun asia on sovittu, mutta julkaisualustalla, lisenssillä ja katselmoijilla on määräaika.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2026-09-30T20:13:34.551Z</dcterms:created>
  <dcterms:modified xsi:type="dcterms:W3CDTF">2026-09-30T20:13:34.551Z</dcterms:modified>
</cp:coreProperties>
</file>

<file path=docProps/custom.xml><?xml version="1.0" encoding="utf-8"?>
<Properties xmlns="http://schemas.openxmlformats.org/officeDocument/2006/custom-properties" xmlns:vt="http://schemas.openxmlformats.org/officeDocument/2006/docPropsVTypes"/>
</file>