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36"/>
          <w:szCs w:val="36"/>
        </w:rPr>
        <w:t xml:space="preserve">Change of salary bank account (IBAN)</w:t>
      </w:r>
    </w:p>
    <w:p>
      <w:pPr>
        <w:spacing w:after="240"/>
      </w:pPr>
      <w:r>
        <w:rPr>
          <w:rFonts w:ascii="Calibri" w:cs="Calibri" w:eastAsia="Calibri" w:hAnsi="Calibri"/>
          <w:color w:val="595959"/>
          <w:sz w:val="24"/>
          <w:szCs w:val="24"/>
        </w:rPr>
        <w:t xml:space="preserve">Client procedure – Lumina Retail NV (Belgium)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val="off"/>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alibri" w:cs="Calibri" w:eastAsia="Calibri" w:hAnsi="Calibri"/>
                <w:b/>
                <w:bCs/>
                <w:sz w:val="20"/>
                <w:szCs w:val="20"/>
              </w:rPr>
              <w:t xml:space="preserve">Document ID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LUM-PAY-007</w:t>
            </w:r>
          </w:p>
        </w:tc>
      </w:tr>
      <w:tr>
        <w:trPr>
          <w:tblHeader w:val="off"/>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alibri" w:cs="Calibri" w:eastAsia="Calibri" w:hAnsi="Calibri"/>
                <w:b/>
                <w:bCs/>
                <w:sz w:val="20"/>
                <w:szCs w:val="20"/>
              </w:rPr>
              <w:t xml:space="preserve">Client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Lumina Retail NV</w:t>
            </w:r>
          </w:p>
        </w:tc>
      </w:tr>
      <w:tr>
        <w:trPr>
          <w:tblHeader w:val="off"/>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alibri" w:cs="Calibri" w:eastAsia="Calibri" w:hAnsi="Calibri"/>
                <w:b/>
                <w:bCs/>
                <w:sz w:val="20"/>
                <w:szCs w:val="20"/>
              </w:rPr>
              <w:t xml:space="preserve">Country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Belgium</w:t>
            </w:r>
          </w:p>
        </w:tc>
      </w:tr>
      <w:tr>
        <w:trPr>
          <w:tblHeader w:val="off"/>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alibri" w:cs="Calibri" w:eastAsia="Calibri" w:hAnsi="Calibri"/>
                <w:b/>
                <w:bCs/>
                <w:sz w:val="20"/>
                <w:szCs w:val="20"/>
              </w:rPr>
              <w:t xml:space="preserve">Version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1.2</w:t>
            </w:r>
          </w:p>
        </w:tc>
      </w:tr>
      <w:tr>
        <w:trPr>
          <w:tblHeader w:val="off"/>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alibri" w:cs="Calibri" w:eastAsia="Calibri" w:hAnsi="Calibri"/>
                <w:b/>
                <w:bCs/>
                <w:sz w:val="20"/>
                <w:szCs w:val="20"/>
              </w:rPr>
              <w:t xml:space="preserve">Status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Approved</w:t>
            </w:r>
          </w:p>
        </w:tc>
      </w:tr>
      <w:tr>
        <w:trPr>
          <w:tblHeader w:val="off"/>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alibri" w:cs="Calibri" w:eastAsia="Calibri" w:hAnsi="Calibri"/>
                <w:b/>
                <w:bCs/>
                <w:sz w:val="20"/>
                <w:szCs w:val="20"/>
              </w:rPr>
              <w:t xml:space="preserve">Owner</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Joris Maes, Payroll Expert</w:t>
            </w:r>
          </w:p>
        </w:tc>
      </w:tr>
      <w:tr>
        <w:trPr>
          <w:tblHeader w:val="off"/>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alibri" w:cs="Calibri" w:eastAsia="Calibri" w:hAnsi="Calibri"/>
                <w:b/>
                <w:bCs/>
                <w:sz w:val="20"/>
                <w:szCs w:val="20"/>
              </w:rPr>
              <w:t xml:space="preserve">Approved by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Joris Maes</w:t>
            </w:r>
          </w:p>
        </w:tc>
      </w:tr>
      <w:tr>
        <w:trPr>
          <w:tblHeader w:val="off"/>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alibri" w:cs="Calibri" w:eastAsia="Calibri" w:hAnsi="Calibri"/>
                <w:b/>
                <w:bCs/>
                <w:sz w:val="20"/>
                <w:szCs w:val="20"/>
              </w:rPr>
              <w:t xml:space="preserve">Effective from</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 April 2022</w:t>
            </w:r>
          </w:p>
        </w:tc>
      </w:tr>
      <w:tr>
        <w:trPr>
          <w:tblHeader w:val="off"/>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alibri" w:cs="Calibri" w:eastAsia="Calibri" w:hAnsi="Calibri"/>
                <w:b/>
                <w:bCs/>
                <w:sz w:val="20"/>
                <w:szCs w:val="20"/>
              </w:rPr>
              <w:t xml:space="preserve">Last reviewed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14 March 2022</w:t>
            </w:r>
          </w:p>
        </w:tc>
      </w:tr>
    </w:tbl>
    <w:p>
      <w:pPr>
        <w:pStyle w:val="Heading1"/>
      </w:pPr>
      <w:r>
        <w:t xml:space="preserve">1. Purpose</w:t>
      </w:r>
    </w:p>
    <w:p>
      <w:pPr>
        <w:spacing w:after="120"/>
      </w:pPr>
      <w:r>
        <w:t xml:space="preserve">This procedure describes how a change of the bank account on which an employee receives their salary is processed for Lumina Retail NV. The goal is that salaries are always paid into the right account and that no change is made without the employee's consent.</w:t>
      </w:r>
    </w:p>
    <w:p>
      <w:pPr>
        <w:pStyle w:val="Heading1"/>
      </w:pPr>
      <w:r>
        <w:t xml:space="preserve">2. Scope</w:t>
      </w:r>
    </w:p>
    <w:p>
      <w:pPr>
        <w:spacing w:after="120"/>
      </w:pPr>
      <w:r>
        <w:t xml:space="preserve">All employees of Lumina Retail NV on the Belgian payroll (joint committee 311). Employees on the Dutch payroll follow the NL procedure.</w:t>
      </w:r>
    </w:p>
    <w:p>
      <w:pPr>
        <w:pStyle w:val="Heading1"/>
      </w:pPr>
      <w:r>
        <w:t xml:space="preserve">3. Roles</w:t>
      </w:r>
    </w:p>
    <w:p>
      <w:pPr>
        <w:pStyle w:val="ListParagraph"/>
        <w:numPr>
          <w:ilvl w:val="0"/>
          <w:numId w:val="2"/>
        </w:numPr>
      </w:pPr>
      <w:r>
        <w:rPr>
          <w:b/>
          <w:bCs/>
        </w:rPr>
        <w:t xml:space="preserve">Employee: </w:t>
      </w:r>
      <w:r>
        <w:t xml:space="preserve">requests the change.</w:t>
      </w:r>
    </w:p>
    <w:p>
      <w:pPr>
        <w:pStyle w:val="ListParagraph"/>
        <w:numPr>
          <w:ilvl w:val="0"/>
          <w:numId w:val="2"/>
        </w:numPr>
      </w:pPr>
      <w:r>
        <w:rPr>
          <w:b/>
          <w:bCs/>
        </w:rPr>
        <w:t xml:space="preserve">Lumina HR: </w:t>
      </w:r>
      <w:r>
        <w:t xml:space="preserve">first point of contact for employees with payroll questions.</w:t>
      </w:r>
    </w:p>
    <w:p>
      <w:pPr>
        <w:pStyle w:val="ListParagraph"/>
        <w:numPr>
          <w:ilvl w:val="0"/>
          <w:numId w:val="2"/>
        </w:numPr>
      </w:pPr>
      <w:r>
        <w:rPr>
          <w:b/>
          <w:bCs/>
        </w:rPr>
        <w:t xml:space="preserve">Payroll consultant (SD Worx): </w:t>
      </w:r>
      <w:r>
        <w:t xml:space="preserve">checks, enters and confirms the change.</w:t>
      </w:r>
    </w:p>
    <w:p>
      <w:pPr>
        <w:pStyle w:val="Heading1"/>
      </w:pPr>
      <w:r>
        <w:t xml:space="preserve">4. Procedure</w:t>
      </w:r>
    </w:p>
    <w:p>
      <w:pPr>
        <w:pStyle w:val="Heading2"/>
        <w:keepNext/>
      </w:pPr>
      <w:r>
        <w:t xml:space="preserve">Step 1 – Receive the request</w:t>
      </w:r>
    </w:p>
    <w:p>
      <w:pPr>
        <w:keepNext/>
        <w:keepLines/>
        <w:spacing w:after="60"/>
      </w:pPr>
      <w:r>
        <w:t xml:space="preserve">The employee sends the new IBAN by email to Lumina HR. HR forwards the email to the payroll consultant.</w:t>
      </w:r>
    </w:p>
    <w:p>
      <w:pPr>
        <w:spacing w:after="160"/>
      </w:pPr>
      <w:r>
        <w:rPr>
          <w:b/>
          <w:bCs/>
          <w:color w:val="595959"/>
          <w:sz w:val="20"/>
          <w:szCs w:val="20"/>
        </w:rPr>
        <w:t xml:space="preserve">Responsible: </w:t>
      </w:r>
      <w:r>
        <w:rPr>
          <w:color w:val="595959"/>
          <w:sz w:val="20"/>
          <w:szCs w:val="20"/>
        </w:rPr>
        <w:t xml:space="preserve">Employee, Lumina HR</w:t>
      </w:r>
    </w:p>
    <w:p>
      <w:pPr>
        <w:pStyle w:val="Heading2"/>
        <w:keepNext/>
      </w:pPr>
      <w:r>
        <w:t xml:space="preserve">Step 2 – Check the IBAN</w:t>
      </w:r>
    </w:p>
    <w:p>
      <w:pPr>
        <w:keepNext/>
        <w:keepLines/>
        <w:spacing w:after="60"/>
      </w:pPr>
      <w:r>
        <w:t xml:space="preserve">The payroll consultant checks that the IBAN is valid (format and check digits) and that the account holder's name matches the employee's name. If it does not match, the request is rejected and the employee is informed.</w:t>
      </w:r>
    </w:p>
    <w:p>
      <w:pPr>
        <w:spacing w:after="160"/>
      </w:pPr>
      <w:r>
        <w:rPr>
          <w:b/>
          <w:bCs/>
          <w:color w:val="595959"/>
          <w:sz w:val="20"/>
          <w:szCs w:val="20"/>
        </w:rPr>
        <w:t xml:space="preserve">Responsible: </w:t>
      </w:r>
      <w:r>
        <w:rPr>
          <w:color w:val="595959"/>
          <w:sz w:val="20"/>
          <w:szCs w:val="20"/>
        </w:rPr>
        <w:t xml:space="preserve">Payroll consultant</w:t>
      </w:r>
    </w:p>
    <w:p>
      <w:pPr>
        <w:pStyle w:val="Heading2"/>
        <w:keepNext/>
      </w:pPr>
      <w:r>
        <w:t xml:space="preserve">Step 3 – Verify the employee's identity</w:t>
      </w:r>
    </w:p>
    <w:p>
      <w:pPr>
        <w:keepNext/>
        <w:keepLines/>
        <w:spacing w:after="60"/>
      </w:pPr>
      <w:r>
        <w:t xml:space="preserve">The payroll consultant checks that the request was sent from the employee's own email address as recorded in the payroll file. If so, the request is considered verified.</w:t>
      </w:r>
    </w:p>
    <w:p>
      <w:pPr>
        <w:spacing w:after="160"/>
      </w:pPr>
      <w:r>
        <w:rPr>
          <w:b/>
          <w:bCs/>
          <w:color w:val="595959"/>
          <w:sz w:val="20"/>
          <w:szCs w:val="20"/>
        </w:rPr>
        <w:t xml:space="preserve">Responsible: </w:t>
      </w:r>
      <w:r>
        <w:rPr>
          <w:color w:val="595959"/>
          <w:sz w:val="20"/>
          <w:szCs w:val="20"/>
        </w:rPr>
        <w:t xml:space="preserve">Payroll consultant</w:t>
      </w:r>
    </w:p>
    <w:p>
      <w:pPr>
        <w:pStyle w:val="Heading2"/>
        <w:keepNext/>
      </w:pPr>
      <w:r>
        <w:t xml:space="preserve">Step 4 – Enter the change in SAP</w:t>
      </w:r>
    </w:p>
    <w:p>
      <w:pPr>
        <w:keepNext/>
        <w:keepLines/>
        <w:spacing w:after="60"/>
      </w:pPr>
      <w:r>
        <w:t xml:space="preserve">The payroll consultant enters the new IBAN in SAP under the employee's payment information and adds the request reference in the comment field. The change is active as soon as it is saved.</w:t>
      </w:r>
    </w:p>
    <w:p>
      <w:pPr>
        <w:spacing w:after="160"/>
      </w:pPr>
      <w:r>
        <w:rPr>
          <w:b/>
          <w:bCs/>
          <w:color w:val="595959"/>
          <w:sz w:val="20"/>
          <w:szCs w:val="20"/>
        </w:rPr>
        <w:t xml:space="preserve">Responsible: </w:t>
      </w:r>
      <w:r>
        <w:rPr>
          <w:color w:val="595959"/>
          <w:sz w:val="20"/>
          <w:szCs w:val="20"/>
        </w:rPr>
        <w:t xml:space="preserve">Payroll consultant</w:t>
      </w:r>
    </w:p>
    <w:p>
      <w:pPr>
        <w:pStyle w:val="Heading2"/>
        <w:keepNext/>
      </w:pPr>
      <w:r>
        <w:t xml:space="preserve">Step 5 – Apply the payroll cut-off</w:t>
      </w:r>
    </w:p>
    <w:p>
      <w:pPr>
        <w:keepNext/>
        <w:keepLines/>
        <w:spacing w:after="60"/>
      </w:pPr>
      <w:r>
        <w:t xml:space="preserve">Changes entered before the 20th of the month apply to that month's salary payment. Changes entered on or after the 20th apply from the next month.</w:t>
      </w:r>
    </w:p>
    <w:p>
      <w:pPr>
        <w:spacing w:after="160"/>
      </w:pPr>
      <w:r>
        <w:rPr>
          <w:b/>
          <w:bCs/>
          <w:color w:val="595959"/>
          <w:sz w:val="20"/>
          <w:szCs w:val="20"/>
        </w:rPr>
        <w:t xml:space="preserve">Responsible: </w:t>
      </w:r>
      <w:r>
        <w:rPr>
          <w:color w:val="595959"/>
          <w:sz w:val="20"/>
          <w:szCs w:val="20"/>
        </w:rPr>
        <w:t xml:space="preserve">Payroll consultant</w:t>
      </w:r>
    </w:p>
    <w:p>
      <w:pPr>
        <w:pStyle w:val="Heading2"/>
        <w:keepNext/>
      </w:pPr>
      <w:r>
        <w:t xml:space="preserve">Step 6 – Confirm to the employee</w:t>
      </w:r>
    </w:p>
    <w:p>
      <w:pPr>
        <w:keepNext/>
        <w:keepLines/>
        <w:spacing w:after="60"/>
      </w:pPr>
      <w:r>
        <w:t xml:space="preserve">The payroll consultant confirms the change to the employee, showing only the last four digits of the new IBAN and the month from which it applies.</w:t>
      </w:r>
    </w:p>
    <w:p>
      <w:pPr>
        <w:spacing w:after="160"/>
      </w:pPr>
      <w:r>
        <w:rPr>
          <w:b/>
          <w:bCs/>
          <w:color w:val="595959"/>
          <w:sz w:val="20"/>
          <w:szCs w:val="20"/>
        </w:rPr>
        <w:t xml:space="preserve">Responsible: </w:t>
      </w:r>
      <w:r>
        <w:rPr>
          <w:color w:val="595959"/>
          <w:sz w:val="20"/>
          <w:szCs w:val="20"/>
        </w:rPr>
        <w:t xml:space="preserve">Payroll consultant</w:t>
      </w:r>
    </w:p>
    <w:p>
      <w:pPr>
        <w:pStyle w:val="Heading2"/>
        <w:keepNext/>
      </w:pPr>
      <w:r>
        <w:t xml:space="preserve">Step 7 – File the request</w:t>
      </w:r>
    </w:p>
    <w:p>
      <w:pPr>
        <w:keepNext/>
        <w:keepLines/>
        <w:spacing w:after="60"/>
      </w:pPr>
      <w:r>
        <w:t xml:space="preserve">The request, the check and the confirmation are stored in the employee's digital personnel file and kept for 5 years.</w:t>
      </w:r>
    </w:p>
    <w:p>
      <w:pPr>
        <w:spacing w:after="160"/>
      </w:pPr>
      <w:r>
        <w:rPr>
          <w:b/>
          <w:bCs/>
          <w:color w:val="595959"/>
          <w:sz w:val="20"/>
          <w:szCs w:val="20"/>
        </w:rPr>
        <w:t xml:space="preserve">Responsible: </w:t>
      </w:r>
      <w:r>
        <w:rPr>
          <w:color w:val="595959"/>
          <w:sz w:val="20"/>
          <w:szCs w:val="20"/>
        </w:rPr>
        <w:t xml:space="preserve">Payroll consultant</w:t>
      </w:r>
    </w:p>
    <w:p>
      <w:pPr>
        <w:pStyle w:val="Heading1"/>
      </w:pPr>
      <w:r>
        <w:t xml:space="preserve">5. 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4126"/>
        <w:gridCol w:w="1800"/>
      </w:tblGrid>
      <w:tr>
        <w:trPr>
          <w:tblHeader/>
        </w:trPr>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alibri" w:cs="Calibri" w:eastAsia="Calibri" w:hAnsi="Calibri"/>
                <w:b/>
                <w:bCs/>
                <w:sz w:val="20"/>
                <w:szCs w:val="20"/>
              </w:rPr>
              <w:t xml:space="preserve">Version</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alibri" w:cs="Calibri" w:eastAsia="Calibri" w:hAnsi="Calibri"/>
                <w:b/>
                <w:bCs/>
                <w:sz w:val="20"/>
                <w:szCs w:val="20"/>
              </w:rPr>
              <w:t xml:space="preserve">Date</w:t>
            </w:r>
          </w:p>
        </w:tc>
        <w:tc>
          <w:tcPr>
            <w:tcW w:type="dxa" w:w="4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alibri" w:cs="Calibri" w:eastAsia="Calibri" w:hAnsi="Calibri"/>
                <w:b/>
                <w:bCs/>
                <w:sz w:val="20"/>
                <w:szCs w:val="20"/>
              </w:rPr>
              <w:t xml:space="preserve">Change</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Calibri" w:cs="Calibri" w:eastAsia="Calibri" w:hAnsi="Calibri"/>
                <w:b/>
                <w:bCs/>
                <w:sz w:val="20"/>
                <w:szCs w:val="20"/>
              </w:rPr>
              <w:t xml:space="preserve">Author</w:t>
            </w:r>
          </w:p>
        </w:tc>
      </w:tr>
      <w:tr>
        <w:trPr>
          <w:tblHeader w:val="off"/>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3 June 2019</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First version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Joris Maes</w:t>
            </w:r>
          </w:p>
        </w:tc>
      </w:tr>
      <w:tr>
        <w:trPr>
          <w:tblHeader w:val="off"/>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9 November 2020</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Updated HR contact details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Joris Maes</w:t>
            </w:r>
          </w:p>
        </w:tc>
      </w:tr>
      <w:tr>
        <w:trPr>
          <w:tblHeader w:val="off"/>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14 March 2022</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Annual review, no content changes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Joris Maes</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color w:val="808080"/>
        <w:sz w:val="16"/>
        <w:szCs w:val="16"/>
      </w:rPr>
      <w:t xml:space="preserve">Synthetic demo data for the Tectonic hackathon. Not a real SD Worx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SD Worx · Payroll BE · Client procedures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60" w:before="200"/>
      <w:outlineLvl w:val="1"/>
    </w:pPr>
    <w:rPr>
      <w:rFonts w:ascii="Calibri" w:cs="Calibri" w:eastAsia="Calibri" w:hAnsi="Calibri"/>
      <w:b/>
      <w:bCs/>
      <w:color w:val="26262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 of salary bank account (IBAN) – Lumina Retail NV</dc:title>
  <dc:creator>Tectonic hackathon team</dc:creator>
  <cp:lastModifiedBy>Un-named</cp:lastModifiedBy>
  <cp:revision>1</cp:revision>
  <dcterms:created xsi:type="dcterms:W3CDTF">2026-09-30T18:40:49.545Z</dcterms:created>
  <dcterms:modified xsi:type="dcterms:W3CDTF">2026-09-30T18:40:49.547Z</dcterms:modified>
</cp:coreProperties>
</file>

<file path=docProps/custom.xml><?xml version="1.0" encoding="utf-8"?>
<Properties xmlns="http://schemas.openxmlformats.org/officeDocument/2006/custom-properties" xmlns:vt="http://schemas.openxmlformats.org/officeDocument/2006/docPropsVTypes"/>
</file>