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F01" w14:textId="0594A58D" w:rsidR="00EE401F" w:rsidRPr="00A76B74" w:rsidRDefault="00E7799D" w:rsidP="00EF3EAA">
      <w:pPr>
        <w:pStyle w:val="Heading1"/>
        <w:rPr>
          <w:rFonts w:ascii="Segoe UI" w:hAnsi="Segoe UI" w:cs="Segoe UI"/>
        </w:rPr>
      </w:pPr>
      <w:r w:rsidRPr="00A76B74">
        <w:rPr>
          <w:rFonts w:ascii="Segoe UI" w:hAnsi="Segoe UI" w:cs="Segoe UI"/>
          <w:noProof/>
          <w:u w:val="single"/>
        </w:rPr>
        <w:drawing>
          <wp:anchor distT="0" distB="0" distL="114300" distR="114300" simplePos="0" relativeHeight="251658240" behindDoc="0" locked="1" layoutInCell="1" allowOverlap="1" wp14:anchorId="486AFAF6" wp14:editId="57F5C210">
            <wp:simplePos x="0" y="0"/>
            <wp:positionH relativeFrom="column">
              <wp:posOffset>4861560</wp:posOffset>
            </wp:positionH>
            <wp:positionV relativeFrom="page">
              <wp:posOffset>879475</wp:posOffset>
            </wp:positionV>
            <wp:extent cx="114427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270" cy="1325880"/>
                    </a:xfrm>
                    <a:prstGeom prst="rect">
                      <a:avLst/>
                    </a:prstGeom>
                    <a:noFill/>
                  </pic:spPr>
                </pic:pic>
              </a:graphicData>
            </a:graphic>
            <wp14:sizeRelH relativeFrom="margin">
              <wp14:pctWidth>0</wp14:pctWidth>
            </wp14:sizeRelH>
            <wp14:sizeRelV relativeFrom="margin">
              <wp14:pctHeight>0</wp14:pctHeight>
            </wp14:sizeRelV>
          </wp:anchor>
        </w:drawing>
      </w:r>
      <w:r w:rsidR="00D065C4" w:rsidRPr="00A76B74">
        <w:rPr>
          <w:rFonts w:ascii="Segoe UI" w:hAnsi="Segoe UI" w:cs="Segoe UI"/>
          <w:u w:val="single"/>
        </w:rPr>
        <w:t>Stressor:</w:t>
      </w:r>
      <w:r w:rsidR="00D065C4" w:rsidRPr="00A76B74">
        <w:rPr>
          <w:rFonts w:ascii="Segoe UI" w:hAnsi="Segoe UI" w:cs="Segoe UI"/>
        </w:rPr>
        <w:t xml:space="preserve"> </w:t>
      </w:r>
      <w:r w:rsidR="004A0AF1" w:rsidRPr="00A76B74">
        <w:rPr>
          <w:rFonts w:ascii="Segoe UI" w:hAnsi="Segoe UI" w:cs="Segoe UI"/>
        </w:rPr>
        <w:t xml:space="preserve">Fine </w:t>
      </w:r>
      <w:r w:rsidR="00333CCD" w:rsidRPr="00A76B74">
        <w:rPr>
          <w:rFonts w:ascii="Segoe UI" w:hAnsi="Segoe UI" w:cs="Segoe UI"/>
        </w:rPr>
        <w:t>Sediment (%)</w:t>
      </w:r>
      <w:r w:rsidR="00EE401F" w:rsidRPr="00A76B74">
        <w:rPr>
          <w:rFonts w:ascii="Segoe UI" w:hAnsi="Segoe UI" w:cs="Segoe UI"/>
        </w:rPr>
        <w:t xml:space="preserve"> </w:t>
      </w:r>
    </w:p>
    <w:p w14:paraId="6C9218E0" w14:textId="5686CFE5" w:rsidR="00EE401F" w:rsidRPr="00A76B74" w:rsidRDefault="00D065C4" w:rsidP="00EE401F">
      <w:pPr>
        <w:pStyle w:val="Heading1"/>
        <w:rPr>
          <w:rFonts w:ascii="Segoe UI" w:hAnsi="Segoe UI" w:cs="Segoe UI"/>
        </w:rPr>
      </w:pPr>
      <w:r w:rsidRPr="00A76B74">
        <w:rPr>
          <w:rFonts w:ascii="Segoe UI" w:hAnsi="Segoe UI" w:cs="Segoe UI"/>
          <w:u w:val="single"/>
        </w:rPr>
        <w:t>Species:</w:t>
      </w:r>
      <w:r w:rsidRPr="00A76B74">
        <w:rPr>
          <w:rFonts w:ascii="Segoe UI" w:hAnsi="Segoe UI" w:cs="Segoe UI"/>
        </w:rPr>
        <w:t xml:space="preserve"> </w:t>
      </w:r>
      <w:r w:rsidR="00DA7DB6">
        <w:rPr>
          <w:rFonts w:ascii="Segoe UI" w:hAnsi="Segoe UI" w:cs="Segoe UI"/>
        </w:rPr>
        <w:t>Coho Salmon</w:t>
      </w:r>
    </w:p>
    <w:p w14:paraId="5C673E7B" w14:textId="7112D698" w:rsidR="00A476F5" w:rsidRPr="00A76B74" w:rsidRDefault="00D065C4" w:rsidP="00A476F5">
      <w:pPr>
        <w:pStyle w:val="Heading1"/>
        <w:rPr>
          <w:rFonts w:ascii="Segoe UI" w:hAnsi="Segoe UI" w:cs="Segoe UI"/>
        </w:rPr>
      </w:pPr>
      <w:r w:rsidRPr="00A76B74">
        <w:rPr>
          <w:rFonts w:ascii="Segoe UI" w:hAnsi="Segoe UI" w:cs="Segoe UI"/>
          <w:u w:val="single"/>
        </w:rPr>
        <w:t>Life Stage/Season:</w:t>
      </w:r>
      <w:r w:rsidRPr="00A76B74">
        <w:rPr>
          <w:rFonts w:ascii="Segoe UI" w:hAnsi="Segoe UI" w:cs="Segoe UI"/>
        </w:rPr>
        <w:t xml:space="preserve"> </w:t>
      </w:r>
      <w:r w:rsidR="008E249D" w:rsidRPr="00A76B74">
        <w:rPr>
          <w:rFonts w:ascii="Segoe UI" w:hAnsi="Segoe UI" w:cs="Segoe UI"/>
        </w:rPr>
        <w:t>Fry/Parr Rearing</w:t>
      </w:r>
    </w:p>
    <w:p w14:paraId="6880F556" w14:textId="25977403" w:rsidR="00A476F5" w:rsidRPr="00A76B74" w:rsidRDefault="00A476F5" w:rsidP="00034B87"/>
    <w:p w14:paraId="4FCDDEC3" w14:textId="72C791C1" w:rsidR="00EE401F" w:rsidRPr="00A76B74" w:rsidRDefault="00EE401F" w:rsidP="00EE401F">
      <w:pPr>
        <w:pStyle w:val="Heading2"/>
        <w:rPr>
          <w:rFonts w:ascii="Segoe UI" w:hAnsi="Segoe UI" w:cs="Segoe UI"/>
        </w:rPr>
      </w:pPr>
      <w:bookmarkStart w:id="0" w:name="_Ref125100612"/>
      <w:r w:rsidRPr="00A76B74">
        <w:rPr>
          <w:rFonts w:ascii="Segoe UI" w:hAnsi="Segoe UI" w:cs="Segoe UI"/>
        </w:rPr>
        <w:t>Citation</w:t>
      </w:r>
      <w:bookmarkEnd w:id="0"/>
    </w:p>
    <w:p w14:paraId="01B7C913" w14:textId="77777777" w:rsidR="00B2188D" w:rsidRPr="006B0568" w:rsidRDefault="00B2188D" w:rsidP="00EE401F">
      <w:pPr>
        <w:pStyle w:val="Heading2"/>
        <w:rPr>
          <w:rFonts w:ascii="Segoe UI" w:eastAsiaTheme="minorEastAsia" w:hAnsi="Segoe UI" w:cs="Segoe UI"/>
          <w:i/>
          <w:iCs/>
          <w:color w:val="auto"/>
          <w:sz w:val="22"/>
          <w:szCs w:val="22"/>
        </w:rPr>
      </w:pPr>
      <w:proofErr w:type="spellStart"/>
      <w:r w:rsidRPr="006B0568">
        <w:rPr>
          <w:rFonts w:ascii="Segoe UI" w:eastAsiaTheme="minorEastAsia" w:hAnsi="Segoe UI" w:cs="Segoe UI"/>
          <w:i/>
          <w:iCs/>
          <w:color w:val="auto"/>
          <w:sz w:val="22"/>
          <w:szCs w:val="22"/>
        </w:rPr>
        <w:t>Beechie</w:t>
      </w:r>
      <w:proofErr w:type="spellEnd"/>
      <w:r w:rsidRPr="006B0568">
        <w:rPr>
          <w:rFonts w:ascii="Segoe UI" w:eastAsiaTheme="minorEastAsia" w:hAnsi="Segoe UI" w:cs="Segoe UI"/>
          <w:i/>
          <w:iCs/>
          <w:color w:val="auto"/>
          <w:sz w:val="22"/>
          <w:szCs w:val="22"/>
        </w:rPr>
        <w:t>, T. J., C. Nicol, C. Fogel, J. Jorgensen, J. Thompson, G. </w:t>
      </w:r>
      <w:proofErr w:type="spellStart"/>
      <w:r w:rsidRPr="006B0568">
        <w:rPr>
          <w:rFonts w:ascii="Segoe UI" w:eastAsiaTheme="minorEastAsia" w:hAnsi="Segoe UI" w:cs="Segoe UI"/>
          <w:i/>
          <w:iCs/>
          <w:color w:val="auto"/>
          <w:sz w:val="22"/>
          <w:szCs w:val="22"/>
        </w:rPr>
        <w:t>Seixas</w:t>
      </w:r>
      <w:proofErr w:type="spellEnd"/>
      <w:r w:rsidRPr="006B0568">
        <w:rPr>
          <w:rFonts w:ascii="Segoe UI" w:eastAsiaTheme="minorEastAsia" w:hAnsi="Segoe UI" w:cs="Segoe UI"/>
          <w:i/>
          <w:iCs/>
          <w:color w:val="auto"/>
          <w:sz w:val="22"/>
          <w:szCs w:val="22"/>
        </w:rPr>
        <w:t>, J. Chamberlin, J. Hall, B. </w:t>
      </w:r>
      <w:proofErr w:type="spellStart"/>
      <w:r w:rsidRPr="006B0568">
        <w:rPr>
          <w:rFonts w:ascii="Segoe UI" w:eastAsiaTheme="minorEastAsia" w:hAnsi="Segoe UI" w:cs="Segoe UI"/>
          <w:i/>
          <w:iCs/>
          <w:color w:val="auto"/>
          <w:sz w:val="22"/>
          <w:szCs w:val="22"/>
        </w:rPr>
        <w:t>Timpane</w:t>
      </w:r>
      <w:proofErr w:type="spellEnd"/>
      <w:r w:rsidRPr="006B0568">
        <w:rPr>
          <w:rFonts w:ascii="Segoe UI" w:eastAsiaTheme="minorEastAsia" w:hAnsi="Segoe UI" w:cs="Segoe UI"/>
          <w:i/>
          <w:iCs/>
          <w:color w:val="auto"/>
          <w:sz w:val="22"/>
          <w:szCs w:val="22"/>
        </w:rPr>
        <w:t>-Padgham, P. </w:t>
      </w:r>
      <w:proofErr w:type="spellStart"/>
      <w:r w:rsidRPr="006B0568">
        <w:rPr>
          <w:rFonts w:ascii="Segoe UI" w:eastAsiaTheme="minorEastAsia" w:hAnsi="Segoe UI" w:cs="Segoe UI"/>
          <w:i/>
          <w:iCs/>
          <w:color w:val="auto"/>
          <w:sz w:val="22"/>
          <w:szCs w:val="22"/>
        </w:rPr>
        <w:t>Kiffney</w:t>
      </w:r>
      <w:proofErr w:type="spellEnd"/>
      <w:r w:rsidRPr="006B0568">
        <w:rPr>
          <w:rFonts w:ascii="Segoe UI" w:eastAsiaTheme="minorEastAsia" w:hAnsi="Segoe UI" w:cs="Segoe UI"/>
          <w:i/>
          <w:iCs/>
          <w:color w:val="auto"/>
          <w:sz w:val="22"/>
          <w:szCs w:val="22"/>
        </w:rPr>
        <w:t>, S. Kubo, and J. Keaton. 2021. Modeling Effects of Habitat Change and Restoration Alternatives on Salmon in the Chehalis River Basin Using a Salmonid Life-Cycle Model. U.S. Department of Commerce, NOAA Contract Report NMFS-NWFSC-CR-2021-01.</w:t>
      </w:r>
    </w:p>
    <w:p w14:paraId="2A406D33" w14:textId="70B8EF0D" w:rsidR="00EE401F" w:rsidRPr="00A76B74" w:rsidRDefault="00EE401F" w:rsidP="00EE401F">
      <w:pPr>
        <w:pStyle w:val="Heading2"/>
        <w:rPr>
          <w:rFonts w:ascii="Segoe UI" w:hAnsi="Segoe UI" w:cs="Segoe UI"/>
        </w:rPr>
      </w:pPr>
      <w:r w:rsidRPr="00A76B74">
        <w:rPr>
          <w:rFonts w:ascii="Segoe UI" w:hAnsi="Segoe UI" w:cs="Segoe UI"/>
        </w:rPr>
        <w:t>Stressor-Response Relationship</w:t>
      </w:r>
    </w:p>
    <w:p w14:paraId="05143955" w14:textId="21736BCD" w:rsidR="008E249D" w:rsidRPr="00A76B74" w:rsidRDefault="008E249D" w:rsidP="008E249D">
      <w:pPr>
        <w:pStyle w:val="Heading3"/>
        <w:rPr>
          <w:rFonts w:ascii="Segoe UI" w:hAnsi="Segoe UI" w:cs="Segoe UI"/>
        </w:rPr>
      </w:pPr>
      <w:r w:rsidRPr="00A76B74">
        <w:rPr>
          <w:rFonts w:ascii="Segoe UI" w:hAnsi="Segoe UI" w:cs="Segoe UI"/>
        </w:rPr>
        <w:t>Rationale</w:t>
      </w:r>
    </w:p>
    <w:p w14:paraId="3775C9EE" w14:textId="45AB1E03" w:rsidR="004A0AF1" w:rsidRPr="00A76B74" w:rsidRDefault="004A0AF1" w:rsidP="004A0AF1">
      <w:pPr>
        <w:pStyle w:val="Heading3"/>
        <w:rPr>
          <w:rFonts w:ascii="Segoe UI" w:eastAsiaTheme="minorEastAsia" w:hAnsi="Segoe UI" w:cs="Segoe UI"/>
          <w:color w:val="auto"/>
          <w:sz w:val="22"/>
          <w:szCs w:val="22"/>
        </w:rPr>
      </w:pPr>
      <w:r w:rsidRPr="00A76B74">
        <w:rPr>
          <w:rFonts w:ascii="Segoe UI" w:eastAsiaTheme="minorEastAsia" w:hAnsi="Segoe UI" w:cs="Segoe UI"/>
          <w:color w:val="auto"/>
          <w:sz w:val="22"/>
          <w:szCs w:val="22"/>
        </w:rPr>
        <w:t xml:space="preserve">Jensen et al. (2009) summarized published values of incubation productivity </w:t>
      </w:r>
      <w:r w:rsidR="00B80F58">
        <w:rPr>
          <w:rFonts w:ascii="Segoe UI" w:eastAsiaTheme="minorEastAsia" w:hAnsi="Segoe UI" w:cs="Segoe UI"/>
          <w:color w:val="auto"/>
          <w:sz w:val="22"/>
          <w:szCs w:val="22"/>
        </w:rPr>
        <w:t xml:space="preserve">(survivorship) </w:t>
      </w:r>
      <w:r w:rsidRPr="00A76B74">
        <w:rPr>
          <w:rFonts w:ascii="Segoe UI" w:eastAsiaTheme="minorEastAsia" w:hAnsi="Segoe UI" w:cs="Segoe UI"/>
          <w:color w:val="auto"/>
          <w:sz w:val="22"/>
          <w:szCs w:val="22"/>
        </w:rPr>
        <w:t xml:space="preserve">for four salmonid species (Chinook, Coho, Chum, and Steelhead) and created a logistic </w:t>
      </w:r>
      <w:r w:rsidR="00B80F58">
        <w:rPr>
          <w:rFonts w:ascii="Segoe UI" w:eastAsiaTheme="minorEastAsia" w:hAnsi="Segoe UI" w:cs="Segoe UI"/>
          <w:color w:val="auto"/>
          <w:sz w:val="22"/>
          <w:szCs w:val="22"/>
        </w:rPr>
        <w:t>regression function</w:t>
      </w:r>
      <w:r w:rsidRPr="00A76B74">
        <w:rPr>
          <w:rFonts w:ascii="Segoe UI" w:eastAsiaTheme="minorEastAsia" w:hAnsi="Segoe UI" w:cs="Segoe UI"/>
          <w:color w:val="auto"/>
          <w:sz w:val="22"/>
          <w:szCs w:val="22"/>
        </w:rPr>
        <w:t xml:space="preserve"> to relate percent fines</w:t>
      </w:r>
      <w:r w:rsidR="00B80F58">
        <w:rPr>
          <w:rFonts w:ascii="Segoe UI" w:eastAsiaTheme="minorEastAsia" w:hAnsi="Segoe UI" w:cs="Segoe UI"/>
          <w:color w:val="auto"/>
          <w:sz w:val="22"/>
          <w:szCs w:val="22"/>
        </w:rPr>
        <w:t xml:space="preserve"> in streams</w:t>
      </w:r>
      <w:r w:rsidRPr="00A76B74">
        <w:rPr>
          <w:rFonts w:ascii="Segoe UI" w:eastAsiaTheme="minorEastAsia" w:hAnsi="Segoe UI" w:cs="Segoe UI"/>
          <w:color w:val="auto"/>
          <w:sz w:val="22"/>
          <w:szCs w:val="22"/>
        </w:rPr>
        <w:t xml:space="preserve"> to</w:t>
      </w:r>
      <w:r w:rsidR="004F1208" w:rsidRPr="00A76B74">
        <w:rPr>
          <w:rFonts w:ascii="Segoe UI" w:eastAsiaTheme="minorEastAsia" w:hAnsi="Segoe UI" w:cs="Segoe UI"/>
          <w:color w:val="auto"/>
          <w:sz w:val="22"/>
          <w:szCs w:val="22"/>
        </w:rPr>
        <w:t xml:space="preserve"> </w:t>
      </w:r>
      <w:r w:rsidRPr="00A76B74">
        <w:rPr>
          <w:rFonts w:ascii="Segoe UI" w:eastAsiaTheme="minorEastAsia" w:hAnsi="Segoe UI" w:cs="Segoe UI"/>
          <w:color w:val="auto"/>
          <w:sz w:val="22"/>
          <w:szCs w:val="22"/>
        </w:rPr>
        <w:t>incubation productivity. Jensen et al. (2009) presented data for all four salmonid species</w:t>
      </w:r>
      <w:r w:rsidR="00B80F58">
        <w:rPr>
          <w:rFonts w:ascii="Segoe UI" w:eastAsiaTheme="minorEastAsia" w:hAnsi="Segoe UI" w:cs="Segoe UI"/>
          <w:color w:val="auto"/>
          <w:sz w:val="22"/>
          <w:szCs w:val="22"/>
        </w:rPr>
        <w:t xml:space="preserve">. However, </w:t>
      </w:r>
      <w:r w:rsidRPr="00A76B74">
        <w:rPr>
          <w:rFonts w:ascii="Segoe UI" w:eastAsiaTheme="minorEastAsia" w:hAnsi="Segoe UI" w:cs="Segoe UI"/>
          <w:color w:val="auto"/>
          <w:sz w:val="22"/>
          <w:szCs w:val="22"/>
        </w:rPr>
        <w:t>there was significant overlap among species</w:t>
      </w:r>
      <w:r w:rsidR="004020F5">
        <w:rPr>
          <w:rFonts w:ascii="Segoe UI" w:eastAsiaTheme="minorEastAsia" w:hAnsi="Segoe UI" w:cs="Segoe UI"/>
          <w:color w:val="auto"/>
          <w:sz w:val="22"/>
          <w:szCs w:val="22"/>
        </w:rPr>
        <w:t>,</w:t>
      </w:r>
      <w:r w:rsidRPr="00A76B74">
        <w:rPr>
          <w:rFonts w:ascii="Segoe UI" w:eastAsiaTheme="minorEastAsia" w:hAnsi="Segoe UI" w:cs="Segoe UI"/>
          <w:color w:val="auto"/>
          <w:sz w:val="22"/>
          <w:szCs w:val="22"/>
        </w:rPr>
        <w:t xml:space="preserve"> and there appeared to be little justification for using different functional relationships for each species. </w:t>
      </w:r>
      <w:commentRangeStart w:id="1"/>
      <w:r w:rsidRPr="00A76B74">
        <w:rPr>
          <w:rFonts w:ascii="Segoe UI" w:eastAsiaTheme="minorEastAsia" w:hAnsi="Segoe UI" w:cs="Segoe UI"/>
          <w:color w:val="auto"/>
          <w:sz w:val="22"/>
          <w:szCs w:val="22"/>
        </w:rPr>
        <w:t>Therefore, they applied the published β</w:t>
      </w:r>
      <w:r w:rsidRPr="00A76B74">
        <w:rPr>
          <w:rFonts w:ascii="Segoe UI" w:eastAsiaTheme="minorEastAsia" w:hAnsi="Segoe UI" w:cs="Segoe UI"/>
          <w:color w:val="auto"/>
          <w:sz w:val="22"/>
          <w:szCs w:val="22"/>
          <w:vertAlign w:val="subscript"/>
        </w:rPr>
        <w:t>0</w:t>
      </w:r>
      <w:r w:rsidRPr="00A76B74">
        <w:rPr>
          <w:rFonts w:ascii="Segoe UI" w:eastAsiaTheme="minorEastAsia" w:hAnsi="Segoe UI" w:cs="Segoe UI"/>
          <w:color w:val="auto"/>
          <w:sz w:val="22"/>
          <w:szCs w:val="22"/>
        </w:rPr>
        <w:t xml:space="preserve"> and β</w:t>
      </w:r>
      <w:r w:rsidRPr="00A76B74">
        <w:rPr>
          <w:rFonts w:ascii="Segoe UI" w:eastAsiaTheme="minorEastAsia" w:hAnsi="Segoe UI" w:cs="Segoe UI"/>
          <w:color w:val="auto"/>
          <w:sz w:val="22"/>
          <w:szCs w:val="22"/>
          <w:vertAlign w:val="subscript"/>
        </w:rPr>
        <w:t>1</w:t>
      </w:r>
      <w:r w:rsidRPr="00A76B74">
        <w:rPr>
          <w:rFonts w:ascii="Segoe UI" w:eastAsiaTheme="minorEastAsia" w:hAnsi="Segoe UI" w:cs="Segoe UI"/>
          <w:color w:val="auto"/>
          <w:sz w:val="22"/>
          <w:szCs w:val="22"/>
        </w:rPr>
        <w:t xml:space="preserve"> estimates to define a functional relationship</w:t>
      </w:r>
      <w:r w:rsidR="00136E90" w:rsidRPr="00A76B74">
        <w:rPr>
          <w:rFonts w:ascii="Segoe UI" w:eastAsiaTheme="minorEastAsia" w:hAnsi="Segoe UI" w:cs="Segoe UI"/>
          <w:color w:val="auto"/>
          <w:sz w:val="22"/>
          <w:szCs w:val="22"/>
        </w:rPr>
        <w:t xml:space="preserve"> </w:t>
      </w:r>
      <w:r w:rsidR="006A4C92" w:rsidRPr="00A76B74">
        <w:rPr>
          <w:rFonts w:ascii="Segoe UI" w:eastAsiaTheme="minorEastAsia" w:hAnsi="Segoe UI" w:cs="Segoe UI"/>
          <w:color w:val="auto"/>
          <w:sz w:val="22"/>
          <w:szCs w:val="22"/>
        </w:rPr>
        <w:t xml:space="preserve">(presented here) </w:t>
      </w:r>
      <w:r w:rsidR="00136E90" w:rsidRPr="00A76B74">
        <w:rPr>
          <w:rFonts w:ascii="Segoe UI" w:eastAsiaTheme="minorEastAsia" w:hAnsi="Segoe UI" w:cs="Segoe UI"/>
          <w:color w:val="auto"/>
          <w:sz w:val="22"/>
          <w:szCs w:val="22"/>
        </w:rPr>
        <w:t>applicable to all four salmonid spe</w:t>
      </w:r>
      <w:r w:rsidR="00D06AF6" w:rsidRPr="00A76B74">
        <w:rPr>
          <w:rFonts w:ascii="Segoe UI" w:eastAsiaTheme="minorEastAsia" w:hAnsi="Segoe UI" w:cs="Segoe UI"/>
          <w:color w:val="auto"/>
          <w:sz w:val="22"/>
          <w:szCs w:val="22"/>
        </w:rPr>
        <w:t>ci</w:t>
      </w:r>
      <w:r w:rsidR="00136E90" w:rsidRPr="00A76B74">
        <w:rPr>
          <w:rFonts w:ascii="Segoe UI" w:eastAsiaTheme="minorEastAsia" w:hAnsi="Segoe UI" w:cs="Segoe UI"/>
          <w:color w:val="auto"/>
          <w:sz w:val="22"/>
          <w:szCs w:val="22"/>
        </w:rPr>
        <w:t>es</w:t>
      </w:r>
      <w:commentRangeEnd w:id="1"/>
      <w:r w:rsidR="00B80F58">
        <w:rPr>
          <w:rStyle w:val="CommentReference"/>
          <w:rFonts w:asciiTheme="minorHAnsi" w:eastAsiaTheme="minorEastAsia" w:hAnsiTheme="minorHAnsi" w:cstheme="minorBidi"/>
          <w:color w:val="auto"/>
        </w:rPr>
        <w:commentReference w:id="1"/>
      </w:r>
      <w:r w:rsidRPr="00A76B74">
        <w:rPr>
          <w:rFonts w:ascii="Segoe UI" w:eastAsiaTheme="minorEastAsia" w:hAnsi="Segoe UI" w:cs="Segoe UI"/>
          <w:color w:val="auto"/>
          <w:sz w:val="22"/>
          <w:szCs w:val="22"/>
        </w:rPr>
        <w:t>.</w:t>
      </w:r>
      <w:r w:rsidR="00B80F58">
        <w:rPr>
          <w:rFonts w:ascii="Segoe UI" w:eastAsiaTheme="minorEastAsia" w:hAnsi="Segoe UI" w:cs="Segoe UI"/>
          <w:color w:val="auto"/>
          <w:sz w:val="22"/>
          <w:szCs w:val="22"/>
        </w:rPr>
        <w:t xml:space="preserve"> Sedimentation (% fines) is treated as a productivity multiplier. Egg survivorship decreases in locations with a high percentage</w:t>
      </w:r>
      <w:r w:rsidR="00473F2E">
        <w:rPr>
          <w:rFonts w:ascii="Segoe UI" w:eastAsiaTheme="minorEastAsia" w:hAnsi="Segoe UI" w:cs="Segoe UI"/>
          <w:color w:val="auto"/>
          <w:sz w:val="22"/>
          <w:szCs w:val="22"/>
        </w:rPr>
        <w:t xml:space="preserve"> of</w:t>
      </w:r>
      <w:r w:rsidR="00B80F58">
        <w:rPr>
          <w:rFonts w:ascii="Segoe UI" w:eastAsiaTheme="minorEastAsia" w:hAnsi="Segoe UI" w:cs="Segoe UI"/>
          <w:color w:val="auto"/>
          <w:sz w:val="22"/>
          <w:szCs w:val="22"/>
        </w:rPr>
        <w:t xml:space="preserve"> fines as the dominant substrate. Impact mechanisms unspecified but likely</w:t>
      </w:r>
      <w:r w:rsidR="004020F5">
        <w:rPr>
          <w:rFonts w:ascii="Segoe UI" w:eastAsiaTheme="minorEastAsia" w:hAnsi="Segoe UI" w:cs="Segoe UI"/>
          <w:color w:val="auto"/>
          <w:sz w:val="22"/>
          <w:szCs w:val="22"/>
        </w:rPr>
        <w:t xml:space="preserve"> to occur</w:t>
      </w:r>
      <w:r w:rsidR="00B80F58">
        <w:rPr>
          <w:rFonts w:ascii="Segoe UI" w:eastAsiaTheme="minorEastAsia" w:hAnsi="Segoe UI" w:cs="Segoe UI"/>
          <w:color w:val="auto"/>
          <w:sz w:val="22"/>
          <w:szCs w:val="22"/>
        </w:rPr>
        <w:t xml:space="preserve"> include direct suffocation or barriers to fry emergence from spawning gravels. </w:t>
      </w:r>
      <w:r w:rsidR="004020F5">
        <w:rPr>
          <w:rFonts w:ascii="Segoe UI" w:eastAsiaTheme="minorEastAsia" w:hAnsi="Segoe UI" w:cs="Segoe UI"/>
          <w:color w:val="auto"/>
          <w:sz w:val="22"/>
          <w:szCs w:val="22"/>
        </w:rPr>
        <w:t>The p</w:t>
      </w:r>
      <w:r w:rsidR="00B80F58">
        <w:rPr>
          <w:rFonts w:ascii="Segoe UI" w:eastAsiaTheme="minorEastAsia" w:hAnsi="Segoe UI" w:cs="Segoe UI"/>
          <w:color w:val="auto"/>
          <w:sz w:val="22"/>
          <w:szCs w:val="22"/>
        </w:rPr>
        <w:t xml:space="preserve">ercentage of fines in spawning substrates should (ideally) be estimated from field surveys, but a generic function is provided to produce a rough estimate of fines for </w:t>
      </w:r>
      <w:proofErr w:type="spellStart"/>
      <w:r w:rsidR="00B80F58">
        <w:rPr>
          <w:rFonts w:ascii="Segoe UI" w:eastAsiaTheme="minorEastAsia" w:hAnsi="Segoe UI" w:cs="Segoe UI"/>
          <w:color w:val="auto"/>
          <w:sz w:val="22"/>
          <w:szCs w:val="22"/>
        </w:rPr>
        <w:t>unsurveyed</w:t>
      </w:r>
      <w:proofErr w:type="spellEnd"/>
      <w:r w:rsidR="00B80F58">
        <w:rPr>
          <w:rFonts w:ascii="Segoe UI" w:eastAsiaTheme="minorEastAsia" w:hAnsi="Segoe UI" w:cs="Segoe UI"/>
          <w:color w:val="auto"/>
          <w:sz w:val="22"/>
          <w:szCs w:val="22"/>
        </w:rPr>
        <w:t xml:space="preserve"> areas based on road densities (estimates are expected to have limited transferability across systems).</w:t>
      </w:r>
    </w:p>
    <w:p w14:paraId="26E6487D" w14:textId="40BD1095" w:rsidR="0083033B" w:rsidRPr="00A76B74" w:rsidRDefault="00B62FE8" w:rsidP="0083033B">
      <w:pPr>
        <w:pStyle w:val="Heading3"/>
        <w:rPr>
          <w:rFonts w:ascii="Segoe UI" w:hAnsi="Segoe UI" w:cs="Segoe UI"/>
        </w:rPr>
      </w:pPr>
      <w:r w:rsidRPr="00A76B74">
        <w:rPr>
          <w:rFonts w:ascii="Segoe UI" w:hAnsi="Segoe UI" w:cs="Segoe UI"/>
        </w:rPr>
        <w:t>Function</w:t>
      </w:r>
    </w:p>
    <w:p w14:paraId="46F4E24C" w14:textId="65A6E748" w:rsidR="004A0AF1" w:rsidRPr="00A76B74" w:rsidRDefault="004A0AF1" w:rsidP="004A0AF1">
      <w:pPr>
        <w:rPr>
          <w:rFonts w:ascii="Segoe UI" w:hAnsi="Segoe UI" w:cs="Segoe UI"/>
        </w:rPr>
      </w:pPr>
      <w:r w:rsidRPr="00A76B74">
        <w:rPr>
          <w:rFonts w:ascii="Segoe UI" w:hAnsi="Segoe UI" w:cs="Segoe UI"/>
        </w:rPr>
        <w:t xml:space="preserve">Derived relationship between fry/parr rearing habitat (density-independent incubation productivity in </w:t>
      </w:r>
      <w:proofErr w:type="spellStart"/>
      <w:r w:rsidRPr="00A76B74">
        <w:rPr>
          <w:rFonts w:ascii="Segoe UI" w:hAnsi="Segoe UI" w:cs="Segoe UI"/>
        </w:rPr>
        <w:t>redds</w:t>
      </w:r>
      <w:proofErr w:type="spellEnd"/>
      <w:r w:rsidRPr="00A76B74">
        <w:rPr>
          <w:rFonts w:ascii="Segoe UI" w:hAnsi="Segoe UI" w:cs="Segoe UI"/>
        </w:rPr>
        <w:t>) and generalized % fine sediment in spawning gravels. The % fine sediment in spawning gravels is predicted by road density for areas with a slope</w:t>
      </w:r>
      <w:r w:rsidR="004020F5">
        <w:rPr>
          <w:rFonts w:ascii="Segoe UI" w:hAnsi="Segoe UI" w:cs="Segoe UI"/>
        </w:rPr>
        <w:t xml:space="preserve"> to </w:t>
      </w:r>
      <w:proofErr w:type="spellStart"/>
      <w:r w:rsidR="004020F5">
        <w:rPr>
          <w:rFonts w:ascii="Segoe UI" w:hAnsi="Segoe UI" w:cs="Segoe UI"/>
        </w:rPr>
        <w:t>bankfull</w:t>
      </w:r>
      <w:proofErr w:type="spellEnd"/>
      <w:r w:rsidR="004020F5">
        <w:rPr>
          <w:rFonts w:ascii="Segoe UI" w:hAnsi="Segoe UI" w:cs="Segoe UI"/>
        </w:rPr>
        <w:t xml:space="preserve"> </w:t>
      </w:r>
      <w:r w:rsidR="006A4C92" w:rsidRPr="00A76B74">
        <w:rPr>
          <w:rFonts w:ascii="Segoe UI" w:hAnsi="Segoe UI" w:cs="Segoe UI"/>
        </w:rPr>
        <w:t>width</w:t>
      </w:r>
      <w:r w:rsidRPr="00A76B74">
        <w:rPr>
          <w:rFonts w:ascii="Segoe UI" w:hAnsi="Segoe UI" w:cs="Segoe UI"/>
        </w:rPr>
        <w:t xml:space="preserve"> index &gt; 0.05; where it is assumed that areas with a slope</w:t>
      </w:r>
      <w:r w:rsidR="004020F5">
        <w:rPr>
          <w:rFonts w:ascii="Segoe UI" w:hAnsi="Segoe UI" w:cs="Segoe UI"/>
        </w:rPr>
        <w:t xml:space="preserve"> to </w:t>
      </w:r>
      <w:proofErr w:type="spellStart"/>
      <w:r w:rsidR="004020F5">
        <w:rPr>
          <w:rFonts w:ascii="Segoe UI" w:hAnsi="Segoe UI" w:cs="Segoe UI"/>
        </w:rPr>
        <w:t>bankfull</w:t>
      </w:r>
      <w:proofErr w:type="spellEnd"/>
      <w:r w:rsidR="004020F5">
        <w:rPr>
          <w:rFonts w:ascii="Segoe UI" w:hAnsi="Segoe UI" w:cs="Segoe UI"/>
        </w:rPr>
        <w:t xml:space="preserve"> </w:t>
      </w:r>
      <w:r w:rsidR="006A4C92" w:rsidRPr="00A76B74">
        <w:rPr>
          <w:rFonts w:ascii="Segoe UI" w:hAnsi="Segoe UI" w:cs="Segoe UI"/>
        </w:rPr>
        <w:t>width</w:t>
      </w:r>
      <w:r w:rsidRPr="00A76B74">
        <w:rPr>
          <w:rFonts w:ascii="Segoe UI" w:hAnsi="Segoe UI" w:cs="Segoe UI"/>
        </w:rPr>
        <w:t xml:space="preserve"> index &lt; 0.05 have very high fine sediment levels which aren’t significantly influenced by road density (</w:t>
      </w:r>
      <w:proofErr w:type="spellStart"/>
      <w:r w:rsidRPr="00A76B74">
        <w:rPr>
          <w:rFonts w:ascii="Segoe UI" w:hAnsi="Segoe UI" w:cs="Segoe UI"/>
        </w:rPr>
        <w:t>Beechie</w:t>
      </w:r>
      <w:proofErr w:type="spellEnd"/>
      <w:r w:rsidRPr="00A76B74">
        <w:rPr>
          <w:rFonts w:ascii="Segoe UI" w:hAnsi="Segoe UI" w:cs="Segoe UI"/>
        </w:rPr>
        <w:t xml:space="preserve"> et al., 2021; data from </w:t>
      </w:r>
      <w:proofErr w:type="spellStart"/>
      <w:r w:rsidRPr="00A76B74">
        <w:rPr>
          <w:rFonts w:ascii="Segoe UI" w:hAnsi="Segoe UI" w:cs="Segoe UI"/>
        </w:rPr>
        <w:t>Mobrand</w:t>
      </w:r>
      <w:proofErr w:type="spellEnd"/>
      <w:r w:rsidRPr="00A76B74">
        <w:rPr>
          <w:rFonts w:ascii="Segoe UI" w:hAnsi="Segoe UI" w:cs="Segoe UI"/>
        </w:rPr>
        <w:t xml:space="preserve"> Biometrics, Inc. 2003).</w:t>
      </w:r>
    </w:p>
    <w:p w14:paraId="2B18D31E" w14:textId="2F9339F9" w:rsidR="000A4060" w:rsidRPr="00A76B74" w:rsidRDefault="000A4060" w:rsidP="00410060">
      <w:pPr>
        <w:pStyle w:val="Heading4"/>
        <w:rPr>
          <w:rFonts w:ascii="Segoe UI" w:hAnsi="Segoe UI" w:cs="Segoe UI"/>
          <w:b/>
          <w:bCs/>
        </w:rPr>
      </w:pPr>
      <w:r w:rsidRPr="00A76B74">
        <w:rPr>
          <w:rFonts w:ascii="Segoe UI" w:hAnsi="Segoe UI" w:cs="Segoe UI"/>
          <w:b/>
          <w:bCs/>
        </w:rPr>
        <w:t xml:space="preserve">Type: </w:t>
      </w:r>
    </w:p>
    <w:sdt>
      <w:sdtPr>
        <w:rPr>
          <w:rFonts w:ascii="Segoe UI" w:hAnsi="Segoe UI" w:cs="Segoe UI"/>
        </w:rPr>
        <w:alias w:val="Function Type"/>
        <w:tag w:val="Function Type"/>
        <w:id w:val="-768083228"/>
        <w:placeholder>
          <w:docPart w:val="DefaultPlaceholder_-1854013438"/>
        </w:placeholder>
        <w:dropDownList>
          <w:listItem w:displayText="Empirical (Real data)" w:value="Empirical (Real data)"/>
          <w:listItem w:displayText="Mechanistic (Theory-based)" w:value="Mechanistic (Theory-based)"/>
        </w:dropDownList>
      </w:sdtPr>
      <w:sdtContent>
        <w:p w14:paraId="6BB7BB7E" w14:textId="6F53FAAA" w:rsidR="002927B0" w:rsidRPr="00A76B74" w:rsidRDefault="002927B0" w:rsidP="002927B0">
          <w:pPr>
            <w:rPr>
              <w:rFonts w:ascii="Segoe UI" w:hAnsi="Segoe UI" w:cs="Segoe UI"/>
            </w:rPr>
          </w:pPr>
          <w:r w:rsidRPr="00A76B74">
            <w:rPr>
              <w:rFonts w:ascii="Segoe UI" w:hAnsi="Segoe UI" w:cs="Segoe UI"/>
            </w:rPr>
            <w:t>Empirical (Real data)</w:t>
          </w:r>
        </w:p>
      </w:sdtContent>
    </w:sdt>
    <w:p w14:paraId="2856CDAF" w14:textId="00D9FC48" w:rsidR="000A4060" w:rsidRPr="00A76B74" w:rsidRDefault="000A4060" w:rsidP="00410060">
      <w:pPr>
        <w:pStyle w:val="Heading4"/>
        <w:rPr>
          <w:rFonts w:ascii="Segoe UI" w:hAnsi="Segoe UI" w:cs="Segoe UI"/>
          <w:b/>
          <w:bCs/>
        </w:rPr>
      </w:pPr>
      <w:r w:rsidRPr="00A76B74">
        <w:rPr>
          <w:rFonts w:ascii="Segoe UI" w:hAnsi="Segoe UI" w:cs="Segoe UI"/>
          <w:b/>
          <w:bCs/>
        </w:rPr>
        <w:lastRenderedPageBreak/>
        <w:t>Original Function:</w:t>
      </w:r>
    </w:p>
    <w:p w14:paraId="6F85031A" w14:textId="6AD1E3E9" w:rsidR="00333CCD" w:rsidRPr="00A76B74" w:rsidRDefault="00333CCD" w:rsidP="00333CCD">
      <w:pPr>
        <w:rPr>
          <w:rFonts w:ascii="Segoe UI" w:hAnsi="Segoe UI" w:cs="Segoe UI"/>
        </w:rPr>
      </w:pPr>
      <w:r w:rsidRPr="00A76B74">
        <w:rPr>
          <w:rFonts w:ascii="Segoe UI" w:hAnsi="Segoe UI" w:cs="Segoe UI"/>
        </w:rPr>
        <w:t>Where slope</w:t>
      </w:r>
      <w:r w:rsidR="00B80F58">
        <w:rPr>
          <w:rFonts w:ascii="Segoe UI" w:hAnsi="Segoe UI" w:cs="Segoe UI"/>
        </w:rPr>
        <w:t xml:space="preserve"> to </w:t>
      </w:r>
      <w:proofErr w:type="spellStart"/>
      <w:r w:rsidR="00B80F58">
        <w:rPr>
          <w:rFonts w:ascii="Segoe UI" w:hAnsi="Segoe UI" w:cs="Segoe UI"/>
        </w:rPr>
        <w:t>bankfull</w:t>
      </w:r>
      <w:proofErr w:type="spellEnd"/>
      <w:r w:rsidR="00B80F58">
        <w:rPr>
          <w:rFonts w:ascii="Segoe UI" w:hAnsi="Segoe UI" w:cs="Segoe UI"/>
        </w:rPr>
        <w:t xml:space="preserve"> </w:t>
      </w:r>
      <w:r w:rsidR="004F1208" w:rsidRPr="00A76B74">
        <w:rPr>
          <w:rFonts w:ascii="Segoe UI" w:hAnsi="Segoe UI" w:cs="Segoe UI"/>
        </w:rPr>
        <w:t>width</w:t>
      </w:r>
      <w:r w:rsidRPr="00A76B74">
        <w:rPr>
          <w:rFonts w:ascii="Segoe UI" w:hAnsi="Segoe UI" w:cs="Segoe UI"/>
        </w:rPr>
        <w:t xml:space="preserve"> index is &gt;</w:t>
      </w:r>
      <w:r w:rsidR="004A0AF1" w:rsidRPr="00A76B74">
        <w:rPr>
          <w:rFonts w:ascii="Segoe UI" w:hAnsi="Segoe UI" w:cs="Segoe UI"/>
        </w:rPr>
        <w:t xml:space="preserve"> </w:t>
      </w:r>
      <w:r w:rsidRPr="00A76B74">
        <w:rPr>
          <w:rFonts w:ascii="Segoe UI" w:hAnsi="Segoe UI" w:cs="Segoe UI"/>
        </w:rPr>
        <w:t>0.05:</w:t>
      </w:r>
    </w:p>
    <w:p w14:paraId="5CD4F48E" w14:textId="77777777" w:rsidR="00333CCD" w:rsidRPr="00A76B74" w:rsidRDefault="00333CCD" w:rsidP="00333CCD">
      <w:pPr>
        <w:rPr>
          <w:rFonts w:ascii="Segoe UI" w:hAnsi="Segoe UI" w:cs="Segoe UI"/>
        </w:rPr>
      </w:pPr>
      <m:oMathPara>
        <m:oMath>
          <m:r>
            <w:rPr>
              <w:rFonts w:ascii="Cambria Math" w:hAnsi="Cambria Math" w:cs="Segoe UI"/>
            </w:rPr>
            <m:t>fine sed = 5.74+2.05*road density</m:t>
          </m:r>
        </m:oMath>
      </m:oMathPara>
    </w:p>
    <w:p w14:paraId="70B6CC04" w14:textId="77777777" w:rsidR="00333CCD" w:rsidRPr="00A76B74" w:rsidRDefault="00000000" w:rsidP="00333CCD">
      <w:pPr>
        <w:rPr>
          <w:rFonts w:ascii="Segoe UI" w:hAnsi="Segoe UI" w:cs="Segoe UI"/>
        </w:rPr>
      </w:pPr>
      <m:oMathPara>
        <m:oMath>
          <m:sSub>
            <m:sSubPr>
              <m:ctrlPr>
                <w:rPr>
                  <w:rFonts w:ascii="Cambria Math" w:hAnsi="Cambria Math" w:cs="Segoe UI"/>
                  <w:i/>
                  <w:iCs/>
                </w:rPr>
              </m:ctrlPr>
            </m:sSubPr>
            <m:e>
              <m:r>
                <w:rPr>
                  <w:rFonts w:ascii="Cambria Math" w:hAnsi="Cambria Math" w:cs="Segoe UI"/>
                </w:rPr>
                <m:t>p</m:t>
              </m:r>
            </m:e>
            <m:sub>
              <m:r>
                <w:rPr>
                  <w:rFonts w:ascii="Cambria Math" w:hAnsi="Cambria Math" w:cs="Segoe UI"/>
                </w:rPr>
                <m:t>incub</m:t>
              </m:r>
            </m:sub>
          </m:sSub>
          <m:r>
            <w:rPr>
              <w:rFonts w:ascii="Cambria Math" w:hAnsi="Cambria Math" w:cs="Segoe UI"/>
            </w:rPr>
            <m:t xml:space="preserve"> =</m:t>
          </m:r>
          <m:f>
            <m:fPr>
              <m:ctrlPr>
                <w:rPr>
                  <w:rFonts w:ascii="Cambria Math" w:hAnsi="Cambria Math" w:cs="Segoe UI"/>
                  <w:i/>
                </w:rPr>
              </m:ctrlPr>
            </m:fPr>
            <m:num>
              <m:r>
                <w:rPr>
                  <w:rFonts w:ascii="Cambria Math" w:hAnsi="Cambria Math" w:cs="Segoe UI"/>
                </w:rPr>
                <m:t xml:space="preserve"> 1</m:t>
              </m:r>
            </m:num>
            <m:den>
              <m:r>
                <w:rPr>
                  <w:rFonts w:ascii="Cambria Math" w:hAnsi="Cambria Math" w:cs="Segoe UI"/>
                </w:rPr>
                <m:t>1+</m:t>
              </m:r>
              <m:sSup>
                <m:sSupPr>
                  <m:ctrlPr>
                    <w:rPr>
                      <w:rFonts w:ascii="Cambria Math" w:hAnsi="Cambria Math" w:cs="Segoe UI"/>
                      <w:i/>
                    </w:rPr>
                  </m:ctrlPr>
                </m:sSupPr>
                <m:e>
                  <m:r>
                    <w:rPr>
                      <w:rFonts w:ascii="Cambria Math" w:hAnsi="Cambria Math" w:cs="Segoe UI"/>
                    </w:rPr>
                    <m:t>e</m:t>
                  </m:r>
                </m:e>
                <m:sup>
                  <m:r>
                    <w:rPr>
                      <w:rFonts w:ascii="Cambria Math" w:hAnsi="Cambria Math" w:cs="Segoe UI"/>
                    </w:rPr>
                    <m:t>-1.989+0.185*fine sed</m:t>
                  </m:r>
                </m:sup>
              </m:sSup>
            </m:den>
          </m:f>
        </m:oMath>
      </m:oMathPara>
    </w:p>
    <w:p w14:paraId="2FBDACE4" w14:textId="77777777" w:rsidR="00333CCD" w:rsidRPr="00A76B74" w:rsidRDefault="00333CCD" w:rsidP="00333CCD">
      <w:pPr>
        <w:rPr>
          <w:rFonts w:ascii="Segoe UI" w:hAnsi="Segoe UI" w:cs="Segoe UI"/>
        </w:rPr>
      </w:pPr>
      <w:r w:rsidRPr="00A76B74">
        <w:rPr>
          <w:rFonts w:ascii="Segoe UI" w:hAnsi="Segoe UI" w:cs="Segoe UI"/>
          <w:i/>
          <w:iCs/>
        </w:rPr>
        <w:t>fine sed</w:t>
      </w:r>
      <w:r w:rsidRPr="00A76B74">
        <w:rPr>
          <w:rFonts w:ascii="Segoe UI" w:hAnsi="Segoe UI" w:cs="Segoe UI"/>
        </w:rPr>
        <w:t xml:space="preserve"> is the percent fine sediment &lt;0.85mm.</w:t>
      </w:r>
    </w:p>
    <w:p w14:paraId="1A9E6EFD" w14:textId="1051EFB5" w:rsidR="00333CCD" w:rsidRPr="00A76B74" w:rsidRDefault="00333CCD" w:rsidP="00333CCD">
      <w:pPr>
        <w:rPr>
          <w:rFonts w:ascii="Segoe UI" w:hAnsi="Segoe UI" w:cs="Segoe UI"/>
          <w:i/>
          <w:iCs/>
        </w:rPr>
      </w:pPr>
      <w:r w:rsidRPr="00A76B74">
        <w:rPr>
          <w:rFonts w:ascii="Segoe UI" w:hAnsi="Segoe UI" w:cs="Segoe UI"/>
          <w:i/>
          <w:iCs/>
        </w:rPr>
        <w:t>road density</w:t>
      </w:r>
      <w:r w:rsidRPr="00A76B74">
        <w:rPr>
          <w:rFonts w:ascii="Segoe UI" w:hAnsi="Segoe UI" w:cs="Segoe UI"/>
        </w:rPr>
        <w:t xml:space="preserve"> is the hectares of current roads per hectare of drainage area.</w:t>
      </w:r>
    </w:p>
    <w:p w14:paraId="3265B524" w14:textId="3E298332" w:rsidR="00AC497F" w:rsidRPr="00A76B74" w:rsidRDefault="00AC497F" w:rsidP="00AC497F">
      <w:pPr>
        <w:rPr>
          <w:rFonts w:ascii="Segoe UI" w:hAnsi="Segoe UI" w:cs="Segoe UI"/>
        </w:rPr>
      </w:pPr>
      <w:bookmarkStart w:id="2" w:name="_Hlk127967177"/>
      <w:proofErr w:type="spellStart"/>
      <w:r w:rsidRPr="00A76B74">
        <w:rPr>
          <w:rFonts w:ascii="Segoe UI" w:hAnsi="Segoe UI" w:cs="Segoe UI"/>
          <w:i/>
          <w:iCs/>
        </w:rPr>
        <w:t>p</w:t>
      </w:r>
      <w:r w:rsidRPr="00A76B74">
        <w:rPr>
          <w:rFonts w:ascii="Segoe UI" w:hAnsi="Segoe UI" w:cs="Segoe UI"/>
          <w:i/>
          <w:iCs/>
          <w:vertAlign w:val="subscript"/>
        </w:rPr>
        <w:t>incub</w:t>
      </w:r>
      <w:proofErr w:type="spellEnd"/>
      <w:r w:rsidRPr="00A76B74">
        <w:rPr>
          <w:rFonts w:ascii="Segoe UI" w:hAnsi="Segoe UI" w:cs="Segoe UI"/>
        </w:rPr>
        <w:t xml:space="preserve"> is incubation productivity from 0-1.</w:t>
      </w:r>
      <w:r w:rsidR="00EF0F4E">
        <w:rPr>
          <w:rFonts w:ascii="Segoe UI" w:hAnsi="Segoe UI" w:cs="Segoe UI"/>
        </w:rPr>
        <w:t xml:space="preserve"> This is then scaled to 0-100% to represent mean system capacity (%). An offset of +12% is added to standardize the function such that the maximum value is 100%.</w:t>
      </w:r>
    </w:p>
    <w:bookmarkEnd w:id="2"/>
    <w:p w14:paraId="01E9769F" w14:textId="6A8EC025" w:rsidR="00FE0CD4" w:rsidRPr="00A76B74" w:rsidRDefault="00FE0CD4" w:rsidP="00FE0CD4">
      <w:pPr>
        <w:pStyle w:val="Heading2"/>
        <w:rPr>
          <w:rFonts w:ascii="Segoe UI" w:hAnsi="Segoe UI" w:cs="Segoe UI"/>
        </w:rPr>
      </w:pPr>
      <w:r w:rsidRPr="00A76B74">
        <w:rPr>
          <w:rFonts w:ascii="Segoe UI" w:hAnsi="Segoe UI" w:cs="Segoe UI"/>
        </w:rPr>
        <w:t>Known Covariates or Stressor Interactions</w:t>
      </w:r>
    </w:p>
    <w:p w14:paraId="016E4D5F" w14:textId="25EACA75" w:rsidR="009B6532" w:rsidRPr="00A76B74" w:rsidRDefault="009B6532" w:rsidP="009B6532">
      <w:pPr>
        <w:pStyle w:val="Heading3"/>
        <w:rPr>
          <w:rFonts w:ascii="Segoe UI" w:hAnsi="Segoe UI" w:cs="Segoe UI"/>
        </w:rPr>
      </w:pPr>
      <w:r w:rsidRPr="00A76B74">
        <w:rPr>
          <w:rFonts w:ascii="Segoe UI" w:hAnsi="Segoe UI" w:cs="Segoe UI"/>
        </w:rPr>
        <w:t>Covariate(s)</w:t>
      </w:r>
    </w:p>
    <w:p w14:paraId="3B65C013" w14:textId="4D1448C2" w:rsidR="008E249D" w:rsidRPr="00A76B74" w:rsidRDefault="00FE4D50" w:rsidP="008E249D">
      <w:pPr>
        <w:rPr>
          <w:rFonts w:ascii="Segoe UI" w:hAnsi="Segoe UI" w:cs="Segoe UI"/>
        </w:rPr>
      </w:pPr>
      <w:r w:rsidRPr="00A76B74">
        <w:rPr>
          <w:rStyle w:val="ui-provider"/>
          <w:rFonts w:ascii="Segoe UI" w:hAnsi="Segoe UI" w:cs="Segoe UI"/>
        </w:rPr>
        <w:t>Applicable for areas with a slope</w:t>
      </w:r>
      <w:r w:rsidR="004020F5">
        <w:rPr>
          <w:rStyle w:val="ui-provider"/>
          <w:rFonts w:ascii="Segoe UI" w:hAnsi="Segoe UI" w:cs="Segoe UI"/>
        </w:rPr>
        <w:t xml:space="preserve"> to </w:t>
      </w:r>
      <w:proofErr w:type="spellStart"/>
      <w:r w:rsidR="004020F5">
        <w:rPr>
          <w:rStyle w:val="ui-provider"/>
          <w:rFonts w:ascii="Segoe UI" w:hAnsi="Segoe UI" w:cs="Segoe UI"/>
        </w:rPr>
        <w:t>bankfull</w:t>
      </w:r>
      <w:proofErr w:type="spellEnd"/>
      <w:r w:rsidR="004020F5">
        <w:rPr>
          <w:rStyle w:val="ui-provider"/>
          <w:rFonts w:ascii="Segoe UI" w:hAnsi="Segoe UI" w:cs="Segoe UI"/>
        </w:rPr>
        <w:t xml:space="preserve"> </w:t>
      </w:r>
      <w:r w:rsidRPr="00A76B74">
        <w:rPr>
          <w:rStyle w:val="ui-provider"/>
          <w:rFonts w:ascii="Segoe UI" w:hAnsi="Segoe UI" w:cs="Segoe UI"/>
        </w:rPr>
        <w:t xml:space="preserve">width index &gt; 0.05. </w:t>
      </w:r>
      <w:r w:rsidR="004020F5">
        <w:rPr>
          <w:rStyle w:val="ui-provider"/>
          <w:rFonts w:ascii="Segoe UI" w:hAnsi="Segoe UI" w:cs="Segoe UI"/>
        </w:rPr>
        <w:t>The s</w:t>
      </w:r>
      <w:r w:rsidRPr="00A76B74">
        <w:rPr>
          <w:rStyle w:val="ui-provider"/>
          <w:rFonts w:ascii="Segoe UI" w:hAnsi="Segoe UI" w:cs="Segoe UI"/>
        </w:rPr>
        <w:t>lope</w:t>
      </w:r>
      <w:r w:rsidR="004020F5">
        <w:rPr>
          <w:rStyle w:val="ui-provider"/>
          <w:rFonts w:ascii="Segoe UI" w:hAnsi="Segoe UI" w:cs="Segoe UI"/>
        </w:rPr>
        <w:t xml:space="preserve"> to </w:t>
      </w:r>
      <w:proofErr w:type="spellStart"/>
      <w:r w:rsidR="004020F5">
        <w:rPr>
          <w:rStyle w:val="ui-provider"/>
          <w:rFonts w:ascii="Segoe UI" w:hAnsi="Segoe UI" w:cs="Segoe UI"/>
        </w:rPr>
        <w:t>bankfull</w:t>
      </w:r>
      <w:proofErr w:type="spellEnd"/>
      <w:r w:rsidR="004020F5">
        <w:rPr>
          <w:rStyle w:val="ui-provider"/>
          <w:rFonts w:ascii="Segoe UI" w:hAnsi="Segoe UI" w:cs="Segoe UI"/>
        </w:rPr>
        <w:t xml:space="preserve"> </w:t>
      </w:r>
      <w:r w:rsidRPr="00A76B74">
        <w:rPr>
          <w:rStyle w:val="ui-provider"/>
          <w:rFonts w:ascii="Segoe UI" w:hAnsi="Segoe UI" w:cs="Segoe UI"/>
        </w:rPr>
        <w:t xml:space="preserve">width index calculated as </w:t>
      </w:r>
      <w:proofErr w:type="spellStart"/>
      <w:r w:rsidRPr="00A76B74">
        <w:rPr>
          <w:rStyle w:val="ui-provider"/>
          <w:rFonts w:ascii="Segoe UI" w:hAnsi="Segoe UI" w:cs="Segoe UI"/>
        </w:rPr>
        <w:t>bankfull</w:t>
      </w:r>
      <w:proofErr w:type="spellEnd"/>
      <w:r w:rsidRPr="00A76B74">
        <w:rPr>
          <w:rStyle w:val="ui-provider"/>
          <w:rFonts w:ascii="Segoe UI" w:hAnsi="Segoe UI" w:cs="Segoe UI"/>
        </w:rPr>
        <w:t xml:space="preserve"> width</w:t>
      </w:r>
      <w:r w:rsidR="006A4C92" w:rsidRPr="00A76B74">
        <w:rPr>
          <w:rStyle w:val="ui-provider"/>
          <w:rFonts w:ascii="Segoe UI" w:hAnsi="Segoe UI" w:cs="Segoe UI"/>
        </w:rPr>
        <w:t xml:space="preserve"> times</w:t>
      </w:r>
      <w:r w:rsidRPr="00A76B74">
        <w:rPr>
          <w:rStyle w:val="ui-provider"/>
          <w:rFonts w:ascii="Segoe UI" w:hAnsi="Segoe UI" w:cs="Segoe UI"/>
        </w:rPr>
        <w:t xml:space="preserve"> reach slope (rise/run)</w:t>
      </w:r>
      <w:r w:rsidR="00AC497F" w:rsidRPr="00A76B74">
        <w:rPr>
          <w:rStyle w:val="ui-provider"/>
          <w:rFonts w:ascii="Segoe UI" w:hAnsi="Segoe UI" w:cs="Segoe UI"/>
        </w:rPr>
        <w:t>.</w:t>
      </w:r>
    </w:p>
    <w:p w14:paraId="1F18D59B" w14:textId="2E57E0FD" w:rsidR="009B6532" w:rsidRPr="00A76B74" w:rsidRDefault="009B6532" w:rsidP="009B6532">
      <w:pPr>
        <w:pStyle w:val="Heading3"/>
        <w:rPr>
          <w:rFonts w:ascii="Segoe UI" w:hAnsi="Segoe UI" w:cs="Segoe UI"/>
        </w:rPr>
      </w:pPr>
      <w:r w:rsidRPr="00A76B74">
        <w:rPr>
          <w:rFonts w:ascii="Segoe UI" w:hAnsi="Segoe UI" w:cs="Segoe UI"/>
        </w:rPr>
        <w:t>Interaction Type</w:t>
      </w:r>
    </w:p>
    <w:p w14:paraId="7C5F04CD" w14:textId="0699E59F" w:rsidR="008E249D" w:rsidRPr="00A76B74" w:rsidRDefault="00FE4D50" w:rsidP="008E249D">
      <w:pPr>
        <w:rPr>
          <w:rFonts w:ascii="Segoe UI" w:hAnsi="Segoe UI" w:cs="Segoe UI"/>
        </w:rPr>
      </w:pPr>
      <w:r w:rsidRPr="00A76B74">
        <w:rPr>
          <w:rFonts w:ascii="Segoe UI" w:hAnsi="Segoe UI" w:cs="Segoe UI"/>
        </w:rPr>
        <w:t xml:space="preserve">Threshold </w:t>
      </w:r>
    </w:p>
    <w:p w14:paraId="0D3A27B9" w14:textId="2A2C0464" w:rsidR="00410060" w:rsidRPr="00A76B74" w:rsidRDefault="00410060" w:rsidP="00111BAA">
      <w:pPr>
        <w:pStyle w:val="Heading2"/>
        <w:rPr>
          <w:rFonts w:ascii="Segoe UI" w:hAnsi="Segoe UI" w:cs="Segoe UI"/>
        </w:rPr>
      </w:pPr>
      <w:r w:rsidRPr="00A76B74">
        <w:rPr>
          <w:rFonts w:ascii="Segoe UI" w:hAnsi="Segoe UI" w:cs="Segoe UI"/>
        </w:rPr>
        <w:t>Considerations</w:t>
      </w:r>
    </w:p>
    <w:p w14:paraId="0A3C6AA9" w14:textId="0A03B4A1" w:rsidR="00016D31" w:rsidRPr="00A76B74" w:rsidRDefault="00016D31" w:rsidP="00016D31">
      <w:pPr>
        <w:rPr>
          <w:rFonts w:ascii="Segoe UI" w:hAnsi="Segoe UI" w:cs="Segoe UI"/>
        </w:rPr>
      </w:pPr>
      <w:r w:rsidRPr="00A76B74">
        <w:rPr>
          <w:rFonts w:ascii="Segoe UI" w:hAnsi="Segoe UI" w:cs="Segoe UI"/>
        </w:rPr>
        <w:t xml:space="preserve">See rubric in Appendix </w:t>
      </w:r>
      <w:r w:rsidR="00473F2E">
        <w:rPr>
          <w:rFonts w:ascii="Segoe UI" w:hAnsi="Segoe UI" w:cs="Segoe UI"/>
        </w:rPr>
        <w:t>A</w:t>
      </w:r>
      <w:r w:rsidRPr="00A76B74">
        <w:rPr>
          <w:rFonts w:ascii="Segoe UI" w:hAnsi="Segoe UI" w:cs="Segoe UI"/>
        </w:rPr>
        <w:t xml:space="preserve"> for explanations of the data classifiers below.</w:t>
      </w:r>
    </w:p>
    <w:p w14:paraId="7FD8C204" w14:textId="7D75E14A" w:rsidR="008E249D" w:rsidRPr="00A76B74" w:rsidRDefault="008E249D" w:rsidP="008E249D">
      <w:pPr>
        <w:rPr>
          <w:rFonts w:ascii="Segoe UI" w:hAnsi="Segoe UI" w:cs="Segoe UI"/>
        </w:rPr>
      </w:pPr>
      <w:r w:rsidRPr="00A76B74">
        <w:rPr>
          <w:rStyle w:val="Heading5Char"/>
          <w:rFonts w:ascii="Segoe UI" w:hAnsi="Segoe UI" w:cs="Segoe UI"/>
        </w:rPr>
        <w:t>Data Source:</w:t>
      </w:r>
      <w:r w:rsidRPr="00A76B74">
        <w:rPr>
          <w:rFonts w:ascii="Segoe UI" w:hAnsi="Segoe UI" w:cs="Segoe UI"/>
        </w:rPr>
        <w:t xml:space="preserve"> Mechanistic </w:t>
      </w:r>
      <w:r w:rsidR="004020F5">
        <w:rPr>
          <w:rFonts w:ascii="Segoe UI" w:hAnsi="Segoe UI" w:cs="Segoe UI"/>
        </w:rPr>
        <w:t>(</w:t>
      </w:r>
      <w:r w:rsidR="00AC497F" w:rsidRPr="00A76B74">
        <w:rPr>
          <w:rFonts w:ascii="Segoe UI" w:hAnsi="Segoe UI" w:cs="Segoe UI"/>
        </w:rPr>
        <w:t>t</w:t>
      </w:r>
      <w:r w:rsidRPr="00A76B74">
        <w:rPr>
          <w:rFonts w:ascii="Segoe UI" w:hAnsi="Segoe UI" w:cs="Segoe UI"/>
        </w:rPr>
        <w:t xml:space="preserve">heory </w:t>
      </w:r>
      <w:r w:rsidR="00AC497F" w:rsidRPr="00A76B74">
        <w:rPr>
          <w:rFonts w:ascii="Segoe UI" w:hAnsi="Segoe UI" w:cs="Segoe UI"/>
        </w:rPr>
        <w:t>b</w:t>
      </w:r>
      <w:r w:rsidRPr="00A76B74">
        <w:rPr>
          <w:rFonts w:ascii="Segoe UI" w:hAnsi="Segoe UI" w:cs="Segoe UI"/>
        </w:rPr>
        <w:t>ased</w:t>
      </w:r>
      <w:r w:rsidR="004020F5">
        <w:rPr>
          <w:rFonts w:ascii="Segoe UI" w:hAnsi="Segoe UI" w:cs="Segoe UI"/>
        </w:rPr>
        <w:t>)</w:t>
      </w:r>
      <w:r w:rsidR="006A4C92" w:rsidRPr="00A76B74">
        <w:rPr>
          <w:rFonts w:ascii="Segoe UI" w:hAnsi="Segoe UI" w:cs="Segoe UI"/>
        </w:rPr>
        <w:t>, and e</w:t>
      </w:r>
      <w:r w:rsidRPr="00A76B74">
        <w:rPr>
          <w:rFonts w:ascii="Segoe UI" w:hAnsi="Segoe UI" w:cs="Segoe UI"/>
        </w:rPr>
        <w:t>mpirica</w:t>
      </w:r>
      <w:r w:rsidR="00AD179F" w:rsidRPr="00A76B74">
        <w:rPr>
          <w:rFonts w:ascii="Segoe UI" w:hAnsi="Segoe UI" w:cs="Segoe UI"/>
        </w:rPr>
        <w:t>l relationship from Jensen (2009) between road density and fines</w:t>
      </w:r>
      <w:r w:rsidR="006A4C92" w:rsidRPr="00A76B74">
        <w:rPr>
          <w:rFonts w:ascii="Segoe UI" w:hAnsi="Segoe UI" w:cs="Segoe UI"/>
        </w:rPr>
        <w:t>.</w:t>
      </w:r>
    </w:p>
    <w:p w14:paraId="3B22FD5B" w14:textId="6F161F54" w:rsidR="008E249D" w:rsidRPr="00A76B74" w:rsidRDefault="008E249D" w:rsidP="008E249D">
      <w:pPr>
        <w:rPr>
          <w:rFonts w:ascii="Segoe UI" w:hAnsi="Segoe UI" w:cs="Segoe UI"/>
        </w:rPr>
      </w:pPr>
      <w:r w:rsidRPr="00A76B74">
        <w:rPr>
          <w:rStyle w:val="Heading5Char"/>
          <w:rFonts w:ascii="Segoe UI" w:hAnsi="Segoe UI" w:cs="Segoe UI"/>
        </w:rPr>
        <w:t>Data Type:</w:t>
      </w:r>
      <w:r w:rsidRPr="00A76B74">
        <w:rPr>
          <w:rFonts w:ascii="Segoe UI" w:hAnsi="Segoe UI" w:cs="Segoe UI"/>
        </w:rPr>
        <w:t xml:space="preserve"> Empirical </w:t>
      </w:r>
      <w:r w:rsidR="00AD179F" w:rsidRPr="00A76B74">
        <w:rPr>
          <w:rFonts w:ascii="Segoe UI" w:hAnsi="Segoe UI" w:cs="Segoe UI"/>
        </w:rPr>
        <w:t>relationship</w:t>
      </w:r>
    </w:p>
    <w:p w14:paraId="12439092" w14:textId="6E805AC1" w:rsidR="008E249D" w:rsidRPr="00A76B74" w:rsidRDefault="008E249D" w:rsidP="008E249D">
      <w:pPr>
        <w:rPr>
          <w:rFonts w:ascii="Segoe UI" w:hAnsi="Segoe UI" w:cs="Segoe UI"/>
        </w:rPr>
      </w:pPr>
      <w:r w:rsidRPr="00A76B74">
        <w:rPr>
          <w:rStyle w:val="Heading5Char"/>
          <w:rFonts w:ascii="Segoe UI" w:hAnsi="Segoe UI" w:cs="Segoe UI"/>
        </w:rPr>
        <w:t>Data Quality:</w:t>
      </w:r>
      <w:r w:rsidRPr="00A76B74">
        <w:rPr>
          <w:rFonts w:ascii="Segoe UI" w:hAnsi="Segoe UI" w:cs="Segoe UI"/>
        </w:rPr>
        <w:t xml:space="preserve"> </w:t>
      </w:r>
      <w:r w:rsidR="00AD179F" w:rsidRPr="00A76B74">
        <w:rPr>
          <w:rFonts w:ascii="Segoe UI" w:hAnsi="Segoe UI" w:cs="Segoe UI"/>
        </w:rPr>
        <w:t>Strong relationship between fine sediment</w:t>
      </w:r>
      <w:r w:rsidR="006A4C92" w:rsidRPr="00A76B74">
        <w:rPr>
          <w:rFonts w:ascii="Segoe UI" w:hAnsi="Segoe UI" w:cs="Segoe UI"/>
        </w:rPr>
        <w:t xml:space="preserve"> (%)</w:t>
      </w:r>
      <w:r w:rsidR="00AD179F" w:rsidRPr="00A76B74">
        <w:rPr>
          <w:rFonts w:ascii="Segoe UI" w:hAnsi="Segoe UI" w:cs="Segoe UI"/>
        </w:rPr>
        <w:t xml:space="preserve"> and incubation productivity</w:t>
      </w:r>
      <w:r w:rsidR="006A4C92" w:rsidRPr="00A76B74">
        <w:rPr>
          <w:rFonts w:ascii="Segoe UI" w:hAnsi="Segoe UI" w:cs="Segoe UI"/>
        </w:rPr>
        <w:t>;</w:t>
      </w:r>
      <w:r w:rsidR="00AD179F" w:rsidRPr="00A76B74">
        <w:rPr>
          <w:rFonts w:ascii="Segoe UI" w:hAnsi="Segoe UI" w:cs="Segoe UI"/>
        </w:rPr>
        <w:t xml:space="preserve"> </w:t>
      </w:r>
      <w:r w:rsidR="004020F5">
        <w:rPr>
          <w:rFonts w:ascii="Segoe UI" w:hAnsi="Segoe UI" w:cs="Segoe UI"/>
        </w:rPr>
        <w:t>h</w:t>
      </w:r>
      <w:r w:rsidR="00F31CC4">
        <w:rPr>
          <w:rFonts w:ascii="Segoe UI" w:hAnsi="Segoe UI" w:cs="Segoe UI"/>
        </w:rPr>
        <w:t xml:space="preserve">owever, very weak </w:t>
      </w:r>
      <w:r w:rsidR="00AD179F" w:rsidRPr="00A76B74">
        <w:rPr>
          <w:rFonts w:ascii="Segoe UI" w:hAnsi="Segoe UI" w:cs="Segoe UI"/>
        </w:rPr>
        <w:t>correlation between fine sediment and road density</w:t>
      </w:r>
      <w:r w:rsidR="00F31CC4">
        <w:rPr>
          <w:rFonts w:ascii="Segoe UI" w:hAnsi="Segoe UI" w:cs="Segoe UI"/>
        </w:rPr>
        <w:t>. Field estimates of fine sediment are recommended rather than GIS proxies</w:t>
      </w:r>
      <w:r w:rsidR="006A4C92" w:rsidRPr="00A76B74">
        <w:rPr>
          <w:rFonts w:ascii="Segoe UI" w:hAnsi="Segoe UI" w:cs="Segoe UI"/>
        </w:rPr>
        <w:t>.</w:t>
      </w:r>
    </w:p>
    <w:p w14:paraId="4E56A895" w14:textId="3BA54679" w:rsidR="008E43D9" w:rsidRPr="00A76B74" w:rsidRDefault="00EA091E" w:rsidP="008E249D">
      <w:pPr>
        <w:rPr>
          <w:rFonts w:ascii="Segoe UI" w:hAnsi="Segoe UI" w:cs="Segoe UI"/>
        </w:rPr>
      </w:pPr>
      <w:r w:rsidRPr="00A76B74">
        <w:rPr>
          <w:rStyle w:val="Heading5Char"/>
          <w:rFonts w:ascii="Segoe UI" w:hAnsi="Segoe UI" w:cs="Segoe UI"/>
        </w:rPr>
        <w:t>Confidence in SR function:</w:t>
      </w:r>
      <w:r w:rsidRPr="00A76B74">
        <w:rPr>
          <w:rFonts w:ascii="Segoe UI" w:hAnsi="Segoe UI" w:cs="Segoe UI"/>
        </w:rPr>
        <w:t xml:space="preserve"> Moderate uncertainty</w:t>
      </w:r>
    </w:p>
    <w:p w14:paraId="2F73C07B" w14:textId="5BB72380" w:rsidR="00111BAA" w:rsidRPr="00A76B74" w:rsidRDefault="00111BAA" w:rsidP="00111BAA">
      <w:pPr>
        <w:pStyle w:val="Heading3"/>
        <w:rPr>
          <w:rFonts w:ascii="Segoe UI" w:hAnsi="Segoe UI" w:cs="Segoe UI"/>
        </w:rPr>
      </w:pPr>
      <w:bookmarkStart w:id="3" w:name="_Ref125100476"/>
      <w:r w:rsidRPr="00A76B74">
        <w:rPr>
          <w:rFonts w:ascii="Segoe UI" w:hAnsi="Segoe UI" w:cs="Segoe UI"/>
        </w:rPr>
        <w:t>Notes and User Recommendations</w:t>
      </w:r>
      <w:bookmarkEnd w:id="3"/>
    </w:p>
    <w:p w14:paraId="58E82179" w14:textId="549DB0FF" w:rsidR="00111BAA" w:rsidRPr="00A76B74" w:rsidRDefault="00D91137" w:rsidP="00111BAA">
      <w:pPr>
        <w:rPr>
          <w:rFonts w:ascii="Segoe UI" w:hAnsi="Segoe UI" w:cs="Segoe UI"/>
        </w:rPr>
      </w:pPr>
      <w:r w:rsidRPr="00A76B74">
        <w:rPr>
          <w:rFonts w:ascii="Segoe UI" w:hAnsi="Segoe UI" w:cs="Segoe UI"/>
        </w:rPr>
        <w:t>Jensen et al. (2009) note that data availability may constrain the accuracy and applicability of the SR results. Few studies were available to develop the SR curve, and most of those studies were based on controlled laboratory data.</w:t>
      </w:r>
    </w:p>
    <w:p w14:paraId="22BF6A15" w14:textId="50E8FEB6" w:rsidR="00EE401F" w:rsidRPr="00A76B74" w:rsidRDefault="00EE401F" w:rsidP="00EE401F">
      <w:pPr>
        <w:rPr>
          <w:rFonts w:ascii="Segoe UI" w:hAnsi="Segoe UI" w:cs="Segoe UI"/>
          <w:b/>
          <w:bCs/>
          <w:color w:val="4472C4" w:themeColor="accent1"/>
        </w:rPr>
      </w:pPr>
      <w:r w:rsidRPr="00A76B74">
        <w:rPr>
          <w:rFonts w:ascii="Segoe UI" w:hAnsi="Segoe UI" w:cs="Segoe UI"/>
          <w:b/>
          <w:bCs/>
          <w:color w:val="4472C4" w:themeColor="accent1"/>
          <w:sz w:val="24"/>
          <w:szCs w:val="24"/>
        </w:rPr>
        <w:t>______________________________________________________________________________</w:t>
      </w:r>
    </w:p>
    <w:p w14:paraId="79EB2899" w14:textId="722BE2A2" w:rsidR="00EE401F" w:rsidRPr="00A76B74" w:rsidRDefault="00BE6BC7" w:rsidP="00C3774E">
      <w:pPr>
        <w:pStyle w:val="Heading2"/>
        <w:rPr>
          <w:rStyle w:val="IntenseEmphasis"/>
          <w:rFonts w:ascii="Segoe UI" w:hAnsi="Segoe UI" w:cs="Segoe UI"/>
          <w:i w:val="0"/>
          <w:iCs w:val="0"/>
          <w:color w:val="2F5496" w:themeColor="accent1" w:themeShade="BF"/>
        </w:rPr>
      </w:pPr>
      <w:r w:rsidRPr="00A76B74">
        <w:rPr>
          <w:rStyle w:val="IntenseEmphasis"/>
          <w:rFonts w:ascii="Segoe UI" w:hAnsi="Segoe UI" w:cs="Segoe UI"/>
          <w:i w:val="0"/>
          <w:iCs w:val="0"/>
          <w:color w:val="2F5496" w:themeColor="accent1" w:themeShade="BF"/>
        </w:rPr>
        <w:lastRenderedPageBreak/>
        <w:t>Stressor-Response Curve</w:t>
      </w:r>
    </w:p>
    <w:p w14:paraId="1535383A" w14:textId="77777777" w:rsidR="004020F5" w:rsidRDefault="004020F5" w:rsidP="004020F5">
      <w:pPr>
        <w:keepNext/>
        <w:jc w:val="center"/>
      </w:pPr>
      <w:r>
        <w:rPr>
          <w:rFonts w:ascii="Segoe UI" w:hAnsi="Segoe UI" w:cs="Segoe UI"/>
          <w:noProof/>
        </w:rPr>
        <w:drawing>
          <wp:inline distT="0" distB="0" distL="0" distR="0" wp14:anchorId="71FFBA3B" wp14:editId="77B72D69">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B6CD1" w14:textId="7692D9DD" w:rsidR="009D6BE2" w:rsidRPr="00AA0B1E" w:rsidRDefault="004020F5" w:rsidP="00AA0B1E">
      <w:pPr>
        <w:pStyle w:val="Caption"/>
        <w:jc w:val="both"/>
        <w:rPr>
          <w:rFonts w:ascii="Segoe UI" w:hAnsi="Segoe UI" w:cs="Segoe UI"/>
          <w:i w:val="0"/>
          <w:iCs w:val="0"/>
          <w:noProof/>
          <w:sz w:val="20"/>
          <w:szCs w:val="20"/>
        </w:rPr>
      </w:pPr>
      <w:r w:rsidRPr="00AA0B1E">
        <w:rPr>
          <w:rFonts w:ascii="Segoe UI" w:hAnsi="Segoe UI" w:cs="Segoe UI"/>
          <w:b/>
          <w:bCs/>
          <w:i w:val="0"/>
          <w:iCs w:val="0"/>
          <w:sz w:val="20"/>
          <w:szCs w:val="20"/>
        </w:rPr>
        <w:t xml:space="preserve">Figure </w:t>
      </w:r>
      <w:r w:rsidRPr="00AA0B1E">
        <w:rPr>
          <w:rFonts w:ascii="Segoe UI" w:hAnsi="Segoe UI" w:cs="Segoe UI"/>
          <w:b/>
          <w:bCs/>
          <w:i w:val="0"/>
          <w:iCs w:val="0"/>
          <w:sz w:val="20"/>
          <w:szCs w:val="20"/>
        </w:rPr>
        <w:fldChar w:fldCharType="begin"/>
      </w:r>
      <w:r w:rsidRPr="00AA0B1E">
        <w:rPr>
          <w:rFonts w:ascii="Segoe UI" w:hAnsi="Segoe UI" w:cs="Segoe UI"/>
          <w:b/>
          <w:bCs/>
          <w:i w:val="0"/>
          <w:iCs w:val="0"/>
          <w:sz w:val="20"/>
          <w:szCs w:val="20"/>
        </w:rPr>
        <w:instrText xml:space="preserve"> SEQ Figure \* ARABIC </w:instrText>
      </w:r>
      <w:r w:rsidRPr="00AA0B1E">
        <w:rPr>
          <w:rFonts w:ascii="Segoe UI" w:hAnsi="Segoe UI" w:cs="Segoe UI"/>
          <w:b/>
          <w:bCs/>
          <w:i w:val="0"/>
          <w:iCs w:val="0"/>
          <w:sz w:val="20"/>
          <w:szCs w:val="20"/>
        </w:rPr>
        <w:fldChar w:fldCharType="separate"/>
      </w:r>
      <w:r w:rsidRPr="00AA0B1E">
        <w:rPr>
          <w:rFonts w:ascii="Segoe UI" w:hAnsi="Segoe UI" w:cs="Segoe UI"/>
          <w:b/>
          <w:bCs/>
          <w:i w:val="0"/>
          <w:iCs w:val="0"/>
          <w:noProof/>
          <w:sz w:val="20"/>
          <w:szCs w:val="20"/>
        </w:rPr>
        <w:t>1</w:t>
      </w:r>
      <w:r w:rsidRPr="00AA0B1E">
        <w:rPr>
          <w:rFonts w:ascii="Segoe UI" w:hAnsi="Segoe UI" w:cs="Segoe UI"/>
          <w:b/>
          <w:bCs/>
          <w:i w:val="0"/>
          <w:iCs w:val="0"/>
          <w:sz w:val="20"/>
          <w:szCs w:val="20"/>
        </w:rPr>
        <w:fldChar w:fldCharType="end"/>
      </w:r>
      <w:r w:rsidRPr="00AA0B1E">
        <w:rPr>
          <w:rFonts w:ascii="Segoe UI" w:hAnsi="Segoe UI" w:cs="Segoe UI"/>
          <w:b/>
          <w:bCs/>
          <w:i w:val="0"/>
          <w:iCs w:val="0"/>
          <w:sz w:val="20"/>
          <w:szCs w:val="20"/>
        </w:rPr>
        <w:t>:</w:t>
      </w:r>
      <w:r w:rsidRPr="00AA0B1E">
        <w:rPr>
          <w:rFonts w:ascii="Segoe UI" w:hAnsi="Segoe UI" w:cs="Segoe UI"/>
          <w:i w:val="0"/>
          <w:iCs w:val="0"/>
          <w:sz w:val="20"/>
          <w:szCs w:val="20"/>
        </w:rPr>
        <w:t xml:space="preserve"> Stressor-response relationship between percent fine sediment and incubation productivity (0-1), interpreted as system capacity in the model.</w:t>
      </w:r>
      <w:r w:rsidR="00AA0B1E">
        <w:rPr>
          <w:rFonts w:ascii="Segoe UI" w:hAnsi="Segoe UI" w:cs="Segoe UI"/>
          <w:i w:val="0"/>
          <w:iCs w:val="0"/>
          <w:sz w:val="20"/>
          <w:szCs w:val="20"/>
        </w:rPr>
        <w:t xml:space="preserve"> Data are from </w:t>
      </w:r>
      <w:proofErr w:type="spellStart"/>
      <w:r w:rsidR="00AA0B1E">
        <w:rPr>
          <w:rFonts w:ascii="Segoe UI" w:hAnsi="Segoe UI" w:cs="Segoe UI"/>
          <w:i w:val="0"/>
          <w:iCs w:val="0"/>
          <w:sz w:val="20"/>
          <w:szCs w:val="20"/>
        </w:rPr>
        <w:t>Beechie</w:t>
      </w:r>
      <w:proofErr w:type="spellEnd"/>
      <w:r w:rsidR="00AA0B1E">
        <w:rPr>
          <w:rFonts w:ascii="Segoe UI" w:hAnsi="Segoe UI" w:cs="Segoe UI"/>
          <w:i w:val="0"/>
          <w:iCs w:val="0"/>
          <w:sz w:val="20"/>
          <w:szCs w:val="20"/>
        </w:rPr>
        <w:t xml:space="preserve"> et al. (2021).</w:t>
      </w:r>
    </w:p>
    <w:p w14:paraId="2DC8FFCB" w14:textId="071D953C" w:rsidR="00BE6BC7" w:rsidRPr="00A76B74" w:rsidRDefault="00BE6BC7" w:rsidP="00C3774E">
      <w:pPr>
        <w:pStyle w:val="Heading2"/>
        <w:rPr>
          <w:rFonts w:ascii="Segoe UI" w:hAnsi="Segoe UI" w:cs="Segoe UI"/>
        </w:rPr>
      </w:pPr>
      <w:r w:rsidRPr="00A76B74">
        <w:rPr>
          <w:rFonts w:ascii="Segoe UI" w:hAnsi="Segoe UI" w:cs="Segoe UI"/>
        </w:rPr>
        <w:t>Stressor-Response Table</w:t>
      </w:r>
    </w:p>
    <w:p w14:paraId="3427F35B" w14:textId="3B09B2DE" w:rsidR="00AA0B1E" w:rsidRPr="00AA0B1E" w:rsidRDefault="00AA0B1E" w:rsidP="00AA0B1E">
      <w:pPr>
        <w:pStyle w:val="Caption"/>
        <w:keepNext/>
        <w:jc w:val="both"/>
        <w:rPr>
          <w:rFonts w:ascii="Segoe UI" w:hAnsi="Segoe UI" w:cs="Segoe UI"/>
          <w:i w:val="0"/>
          <w:iCs w:val="0"/>
          <w:sz w:val="20"/>
          <w:szCs w:val="20"/>
        </w:rPr>
      </w:pPr>
      <w:r w:rsidRPr="00AA0B1E">
        <w:rPr>
          <w:rFonts w:ascii="Segoe UI" w:hAnsi="Segoe UI" w:cs="Segoe UI"/>
          <w:b/>
          <w:bCs/>
          <w:i w:val="0"/>
          <w:iCs w:val="0"/>
          <w:sz w:val="20"/>
          <w:szCs w:val="20"/>
        </w:rPr>
        <w:t xml:space="preserve">Table </w:t>
      </w:r>
      <w:r w:rsidRPr="00AA0B1E">
        <w:rPr>
          <w:rFonts w:ascii="Segoe UI" w:hAnsi="Segoe UI" w:cs="Segoe UI"/>
          <w:b/>
          <w:bCs/>
          <w:i w:val="0"/>
          <w:iCs w:val="0"/>
          <w:sz w:val="20"/>
          <w:szCs w:val="20"/>
        </w:rPr>
        <w:fldChar w:fldCharType="begin"/>
      </w:r>
      <w:r w:rsidRPr="00AA0B1E">
        <w:rPr>
          <w:rFonts w:ascii="Segoe UI" w:hAnsi="Segoe UI" w:cs="Segoe UI"/>
          <w:b/>
          <w:bCs/>
          <w:i w:val="0"/>
          <w:iCs w:val="0"/>
          <w:sz w:val="20"/>
          <w:szCs w:val="20"/>
        </w:rPr>
        <w:instrText xml:space="preserve"> SEQ Table \* ARABIC </w:instrText>
      </w:r>
      <w:r w:rsidRPr="00AA0B1E">
        <w:rPr>
          <w:rFonts w:ascii="Segoe UI" w:hAnsi="Segoe UI" w:cs="Segoe UI"/>
          <w:b/>
          <w:bCs/>
          <w:i w:val="0"/>
          <w:iCs w:val="0"/>
          <w:sz w:val="20"/>
          <w:szCs w:val="20"/>
        </w:rPr>
        <w:fldChar w:fldCharType="separate"/>
      </w:r>
      <w:r w:rsidRPr="00AA0B1E">
        <w:rPr>
          <w:rFonts w:ascii="Segoe UI" w:hAnsi="Segoe UI" w:cs="Segoe UI"/>
          <w:b/>
          <w:bCs/>
          <w:i w:val="0"/>
          <w:iCs w:val="0"/>
          <w:noProof/>
          <w:sz w:val="20"/>
          <w:szCs w:val="20"/>
        </w:rPr>
        <w:t>1</w:t>
      </w:r>
      <w:r w:rsidRPr="00AA0B1E">
        <w:rPr>
          <w:rFonts w:ascii="Segoe UI" w:hAnsi="Segoe UI" w:cs="Segoe UI"/>
          <w:b/>
          <w:bCs/>
          <w:i w:val="0"/>
          <w:iCs w:val="0"/>
          <w:sz w:val="20"/>
          <w:szCs w:val="20"/>
        </w:rPr>
        <w:fldChar w:fldCharType="end"/>
      </w:r>
      <w:r w:rsidRPr="00AA0B1E">
        <w:rPr>
          <w:rFonts w:ascii="Segoe UI" w:hAnsi="Segoe UI" w:cs="Segoe UI"/>
          <w:b/>
          <w:bCs/>
          <w:i w:val="0"/>
          <w:iCs w:val="0"/>
          <w:sz w:val="20"/>
          <w:szCs w:val="20"/>
        </w:rPr>
        <w:t>:</w:t>
      </w:r>
      <w:r w:rsidRPr="00AA0B1E">
        <w:rPr>
          <w:rFonts w:ascii="Segoe UI" w:hAnsi="Segoe UI" w:cs="Segoe UI"/>
          <w:i w:val="0"/>
          <w:iCs w:val="0"/>
          <w:sz w:val="20"/>
          <w:szCs w:val="20"/>
        </w:rPr>
        <w:t xml:space="preserve"> Discrete stressor-response relationship between raw stressor values and the mean system capacity (0-100%; scaled incubation productivity). The standard deviation of the mean system capacity is defined by the user and represents the </w:t>
      </w:r>
      <w:r w:rsidRPr="00AA0B1E">
        <w:rPr>
          <w:rFonts w:ascii="Segoe UI" w:hAnsi="Segoe UI" w:cs="Segoe UI"/>
          <w:i w:val="0"/>
          <w:iCs w:val="0"/>
          <w:sz w:val="20"/>
          <w:szCs w:val="20"/>
        </w:rPr>
        <w:t>inherent stochasticity or noise in the relationship. The set lower limit and upper limit of the mean system capacity are also presented. Mean system capacity (0-100%) is a standardized measure of wild adult recruits produced by the previous spawner cohort.</w:t>
      </w:r>
    </w:p>
    <w:tbl>
      <w:tblPr>
        <w:tblW w:w="7830" w:type="dxa"/>
        <w:tblLook w:val="04A0" w:firstRow="1" w:lastRow="0" w:firstColumn="1" w:lastColumn="0" w:noHBand="0" w:noVBand="1"/>
      </w:tblPr>
      <w:tblGrid>
        <w:gridCol w:w="1620"/>
        <w:gridCol w:w="3060"/>
        <w:gridCol w:w="990"/>
        <w:gridCol w:w="900"/>
        <w:gridCol w:w="1260"/>
      </w:tblGrid>
      <w:tr w:rsidR="00333CCD" w:rsidRPr="00A76B74" w14:paraId="02564203" w14:textId="77777777" w:rsidTr="00A76B74">
        <w:trPr>
          <w:trHeight w:val="600"/>
        </w:trPr>
        <w:tc>
          <w:tcPr>
            <w:tcW w:w="1620" w:type="dxa"/>
            <w:tcBorders>
              <w:top w:val="nil"/>
              <w:left w:val="nil"/>
              <w:bottom w:val="single" w:sz="4" w:space="0" w:color="auto"/>
              <w:right w:val="nil"/>
            </w:tcBorders>
            <w:shd w:val="clear" w:color="000000" w:fill="D9D9D9"/>
            <w:vAlign w:val="bottom"/>
            <w:hideMark/>
          </w:tcPr>
          <w:p w14:paraId="21E20C57" w14:textId="77777777" w:rsidR="00333CCD" w:rsidRPr="00A76B74" w:rsidRDefault="00333CCD" w:rsidP="00B126BA">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Sediment</w:t>
            </w:r>
          </w:p>
        </w:tc>
        <w:tc>
          <w:tcPr>
            <w:tcW w:w="3060" w:type="dxa"/>
            <w:tcBorders>
              <w:top w:val="nil"/>
              <w:left w:val="nil"/>
              <w:bottom w:val="single" w:sz="4" w:space="0" w:color="auto"/>
              <w:right w:val="nil"/>
            </w:tcBorders>
            <w:shd w:val="clear" w:color="000000" w:fill="D9D9D9"/>
            <w:noWrap/>
            <w:vAlign w:val="bottom"/>
            <w:hideMark/>
          </w:tcPr>
          <w:p w14:paraId="78003CAB" w14:textId="77777777" w:rsidR="00333CCD" w:rsidRPr="00A76B74" w:rsidRDefault="00333CCD" w:rsidP="00B126BA">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Mean System Capacity (%)</w:t>
            </w:r>
          </w:p>
        </w:tc>
        <w:tc>
          <w:tcPr>
            <w:tcW w:w="990" w:type="dxa"/>
            <w:tcBorders>
              <w:top w:val="nil"/>
              <w:left w:val="nil"/>
              <w:bottom w:val="single" w:sz="4" w:space="0" w:color="auto"/>
              <w:right w:val="nil"/>
            </w:tcBorders>
            <w:shd w:val="clear" w:color="000000" w:fill="D9D9D9"/>
            <w:vAlign w:val="bottom"/>
            <w:hideMark/>
          </w:tcPr>
          <w:p w14:paraId="3C246EDF" w14:textId="77777777" w:rsidR="00333CCD" w:rsidRPr="00A76B74" w:rsidRDefault="00333CCD" w:rsidP="00B126BA">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SD</w:t>
            </w:r>
          </w:p>
        </w:tc>
        <w:tc>
          <w:tcPr>
            <w:tcW w:w="900" w:type="dxa"/>
            <w:tcBorders>
              <w:top w:val="nil"/>
              <w:left w:val="nil"/>
              <w:bottom w:val="single" w:sz="4" w:space="0" w:color="auto"/>
              <w:right w:val="nil"/>
            </w:tcBorders>
            <w:shd w:val="clear" w:color="000000" w:fill="D9D9D9"/>
            <w:vAlign w:val="bottom"/>
            <w:hideMark/>
          </w:tcPr>
          <w:p w14:paraId="5CBE3980" w14:textId="77777777" w:rsidR="00333CCD" w:rsidRPr="00A76B74" w:rsidRDefault="00333CCD" w:rsidP="00B126BA">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Lower Limit</w:t>
            </w:r>
          </w:p>
        </w:tc>
        <w:tc>
          <w:tcPr>
            <w:tcW w:w="1260" w:type="dxa"/>
            <w:tcBorders>
              <w:top w:val="nil"/>
              <w:left w:val="nil"/>
              <w:bottom w:val="single" w:sz="4" w:space="0" w:color="auto"/>
              <w:right w:val="nil"/>
            </w:tcBorders>
            <w:shd w:val="clear" w:color="000000" w:fill="D9D9D9"/>
            <w:vAlign w:val="bottom"/>
            <w:hideMark/>
          </w:tcPr>
          <w:p w14:paraId="08B0D133" w14:textId="77777777" w:rsidR="00333CCD" w:rsidRPr="00A76B74" w:rsidRDefault="00333CCD" w:rsidP="00B126BA">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Upper Limit</w:t>
            </w:r>
          </w:p>
        </w:tc>
      </w:tr>
      <w:tr w:rsidR="0020522D" w:rsidRPr="00A76B74" w14:paraId="5D1BBD7D" w14:textId="77777777" w:rsidTr="00A76B74">
        <w:trPr>
          <w:trHeight w:val="300"/>
        </w:trPr>
        <w:tc>
          <w:tcPr>
            <w:tcW w:w="1620" w:type="dxa"/>
            <w:tcBorders>
              <w:top w:val="nil"/>
              <w:left w:val="nil"/>
              <w:bottom w:val="nil"/>
              <w:right w:val="nil"/>
            </w:tcBorders>
            <w:shd w:val="clear" w:color="auto" w:fill="auto"/>
            <w:noWrap/>
            <w:vAlign w:val="bottom"/>
            <w:hideMark/>
          </w:tcPr>
          <w:p w14:paraId="422F0E35"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3060" w:type="dxa"/>
            <w:tcBorders>
              <w:top w:val="nil"/>
              <w:left w:val="nil"/>
              <w:bottom w:val="nil"/>
              <w:right w:val="nil"/>
            </w:tcBorders>
            <w:shd w:val="clear" w:color="auto" w:fill="auto"/>
            <w:noWrap/>
            <w:vAlign w:val="bottom"/>
            <w:hideMark/>
          </w:tcPr>
          <w:p w14:paraId="2240EC09" w14:textId="2EF0D05F"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c>
          <w:tcPr>
            <w:tcW w:w="990" w:type="dxa"/>
            <w:tcBorders>
              <w:top w:val="nil"/>
              <w:left w:val="nil"/>
              <w:bottom w:val="nil"/>
              <w:right w:val="nil"/>
            </w:tcBorders>
            <w:shd w:val="clear" w:color="auto" w:fill="auto"/>
            <w:noWrap/>
            <w:vAlign w:val="bottom"/>
            <w:hideMark/>
          </w:tcPr>
          <w:p w14:paraId="2FABEB83"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176DD0C"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80B1B1A" w14:textId="2482D693"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6C892154" w14:textId="77777777" w:rsidTr="00A76B74">
        <w:trPr>
          <w:trHeight w:val="300"/>
        </w:trPr>
        <w:tc>
          <w:tcPr>
            <w:tcW w:w="1620" w:type="dxa"/>
            <w:tcBorders>
              <w:top w:val="nil"/>
              <w:left w:val="nil"/>
              <w:bottom w:val="nil"/>
              <w:right w:val="nil"/>
            </w:tcBorders>
            <w:shd w:val="clear" w:color="auto" w:fill="auto"/>
            <w:noWrap/>
            <w:vAlign w:val="bottom"/>
            <w:hideMark/>
          </w:tcPr>
          <w:p w14:paraId="0C4146CB"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10</w:t>
            </w:r>
          </w:p>
        </w:tc>
        <w:tc>
          <w:tcPr>
            <w:tcW w:w="3060" w:type="dxa"/>
            <w:tcBorders>
              <w:top w:val="nil"/>
              <w:left w:val="nil"/>
              <w:bottom w:val="nil"/>
              <w:right w:val="nil"/>
            </w:tcBorders>
            <w:shd w:val="clear" w:color="auto" w:fill="auto"/>
            <w:noWrap/>
            <w:vAlign w:val="bottom"/>
            <w:hideMark/>
          </w:tcPr>
          <w:p w14:paraId="3F45A02E" w14:textId="497A6EAD"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65.46941575</w:t>
            </w:r>
          </w:p>
        </w:tc>
        <w:tc>
          <w:tcPr>
            <w:tcW w:w="990" w:type="dxa"/>
            <w:tcBorders>
              <w:top w:val="nil"/>
              <w:left w:val="nil"/>
              <w:bottom w:val="nil"/>
              <w:right w:val="nil"/>
            </w:tcBorders>
            <w:shd w:val="clear" w:color="auto" w:fill="auto"/>
            <w:noWrap/>
            <w:vAlign w:val="bottom"/>
            <w:hideMark/>
          </w:tcPr>
          <w:p w14:paraId="6D1ED4A8"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52D129F7"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D43C92A" w14:textId="0EAF586B"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489159EE" w14:textId="77777777" w:rsidTr="00A76B74">
        <w:trPr>
          <w:trHeight w:val="300"/>
        </w:trPr>
        <w:tc>
          <w:tcPr>
            <w:tcW w:w="1620" w:type="dxa"/>
            <w:tcBorders>
              <w:top w:val="nil"/>
              <w:left w:val="nil"/>
              <w:bottom w:val="nil"/>
              <w:right w:val="nil"/>
            </w:tcBorders>
            <w:shd w:val="clear" w:color="auto" w:fill="auto"/>
            <w:noWrap/>
            <w:vAlign w:val="bottom"/>
            <w:hideMark/>
          </w:tcPr>
          <w:p w14:paraId="63D081E2"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20</w:t>
            </w:r>
          </w:p>
        </w:tc>
        <w:tc>
          <w:tcPr>
            <w:tcW w:w="3060" w:type="dxa"/>
            <w:tcBorders>
              <w:top w:val="nil"/>
              <w:left w:val="nil"/>
              <w:bottom w:val="nil"/>
              <w:right w:val="nil"/>
            </w:tcBorders>
            <w:shd w:val="clear" w:color="auto" w:fill="auto"/>
            <w:noWrap/>
            <w:vAlign w:val="bottom"/>
            <w:hideMark/>
          </w:tcPr>
          <w:p w14:paraId="5113AA5F" w14:textId="5EACEC7B"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27.30340562</w:t>
            </w:r>
          </w:p>
        </w:tc>
        <w:tc>
          <w:tcPr>
            <w:tcW w:w="990" w:type="dxa"/>
            <w:tcBorders>
              <w:top w:val="nil"/>
              <w:left w:val="nil"/>
              <w:bottom w:val="nil"/>
              <w:right w:val="nil"/>
            </w:tcBorders>
            <w:shd w:val="clear" w:color="auto" w:fill="auto"/>
            <w:noWrap/>
            <w:vAlign w:val="bottom"/>
            <w:hideMark/>
          </w:tcPr>
          <w:p w14:paraId="7A7BCE3B"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AA3B7D3"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5D0065F" w14:textId="5BB7B045"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440C4480" w14:textId="77777777" w:rsidTr="00A76B74">
        <w:trPr>
          <w:trHeight w:val="300"/>
        </w:trPr>
        <w:tc>
          <w:tcPr>
            <w:tcW w:w="1620" w:type="dxa"/>
            <w:tcBorders>
              <w:top w:val="nil"/>
              <w:left w:val="nil"/>
              <w:bottom w:val="nil"/>
              <w:right w:val="nil"/>
            </w:tcBorders>
            <w:shd w:val="clear" w:color="auto" w:fill="auto"/>
            <w:noWrap/>
            <w:vAlign w:val="bottom"/>
            <w:hideMark/>
          </w:tcPr>
          <w:p w14:paraId="0B33DD33"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30</w:t>
            </w:r>
          </w:p>
        </w:tc>
        <w:tc>
          <w:tcPr>
            <w:tcW w:w="3060" w:type="dxa"/>
            <w:tcBorders>
              <w:top w:val="nil"/>
              <w:left w:val="nil"/>
              <w:bottom w:val="nil"/>
              <w:right w:val="nil"/>
            </w:tcBorders>
            <w:shd w:val="clear" w:color="auto" w:fill="auto"/>
            <w:noWrap/>
            <w:vAlign w:val="bottom"/>
            <w:hideMark/>
          </w:tcPr>
          <w:p w14:paraId="5FB9A9EB" w14:textId="30294397"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14.76255473</w:t>
            </w:r>
          </w:p>
        </w:tc>
        <w:tc>
          <w:tcPr>
            <w:tcW w:w="990" w:type="dxa"/>
            <w:tcBorders>
              <w:top w:val="nil"/>
              <w:left w:val="nil"/>
              <w:bottom w:val="nil"/>
              <w:right w:val="nil"/>
            </w:tcBorders>
            <w:shd w:val="clear" w:color="auto" w:fill="auto"/>
            <w:noWrap/>
            <w:vAlign w:val="bottom"/>
            <w:hideMark/>
          </w:tcPr>
          <w:p w14:paraId="70B885A5"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1EBECA5"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02E270C1" w14:textId="56F8D284"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384E1774" w14:textId="77777777" w:rsidTr="00A76B74">
        <w:trPr>
          <w:trHeight w:val="300"/>
        </w:trPr>
        <w:tc>
          <w:tcPr>
            <w:tcW w:w="1620" w:type="dxa"/>
            <w:tcBorders>
              <w:top w:val="nil"/>
              <w:left w:val="nil"/>
              <w:bottom w:val="nil"/>
              <w:right w:val="nil"/>
            </w:tcBorders>
            <w:shd w:val="clear" w:color="auto" w:fill="auto"/>
            <w:noWrap/>
            <w:vAlign w:val="bottom"/>
            <w:hideMark/>
          </w:tcPr>
          <w:p w14:paraId="25ACB8AC"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40</w:t>
            </w:r>
          </w:p>
        </w:tc>
        <w:tc>
          <w:tcPr>
            <w:tcW w:w="3060" w:type="dxa"/>
            <w:tcBorders>
              <w:top w:val="nil"/>
              <w:left w:val="nil"/>
              <w:bottom w:val="nil"/>
              <w:right w:val="nil"/>
            </w:tcBorders>
            <w:shd w:val="clear" w:color="auto" w:fill="auto"/>
            <w:noWrap/>
            <w:vAlign w:val="bottom"/>
            <w:hideMark/>
          </w:tcPr>
          <w:p w14:paraId="6E35649D" w14:textId="7F7C25E7"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12.44473039</w:t>
            </w:r>
          </w:p>
        </w:tc>
        <w:tc>
          <w:tcPr>
            <w:tcW w:w="990" w:type="dxa"/>
            <w:tcBorders>
              <w:top w:val="nil"/>
              <w:left w:val="nil"/>
              <w:bottom w:val="nil"/>
              <w:right w:val="nil"/>
            </w:tcBorders>
            <w:shd w:val="clear" w:color="auto" w:fill="auto"/>
            <w:noWrap/>
            <w:vAlign w:val="bottom"/>
            <w:hideMark/>
          </w:tcPr>
          <w:p w14:paraId="1161DBD7"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23B83DF"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03EE7C3" w14:textId="7B82F7B0"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1785F00B" w14:textId="77777777" w:rsidTr="00A76B74">
        <w:trPr>
          <w:trHeight w:val="300"/>
        </w:trPr>
        <w:tc>
          <w:tcPr>
            <w:tcW w:w="1620" w:type="dxa"/>
            <w:tcBorders>
              <w:top w:val="nil"/>
              <w:left w:val="nil"/>
              <w:bottom w:val="nil"/>
              <w:right w:val="nil"/>
            </w:tcBorders>
            <w:shd w:val="clear" w:color="auto" w:fill="auto"/>
            <w:noWrap/>
            <w:vAlign w:val="bottom"/>
            <w:hideMark/>
          </w:tcPr>
          <w:p w14:paraId="26E6A179"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50</w:t>
            </w:r>
          </w:p>
        </w:tc>
        <w:tc>
          <w:tcPr>
            <w:tcW w:w="3060" w:type="dxa"/>
            <w:tcBorders>
              <w:top w:val="nil"/>
              <w:left w:val="nil"/>
              <w:bottom w:val="nil"/>
              <w:right w:val="nil"/>
            </w:tcBorders>
            <w:shd w:val="clear" w:color="auto" w:fill="auto"/>
            <w:noWrap/>
            <w:vAlign w:val="bottom"/>
            <w:hideMark/>
          </w:tcPr>
          <w:p w14:paraId="78CD5ABF" w14:textId="64998CAA"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12.07019123</w:t>
            </w:r>
          </w:p>
        </w:tc>
        <w:tc>
          <w:tcPr>
            <w:tcW w:w="990" w:type="dxa"/>
            <w:tcBorders>
              <w:top w:val="nil"/>
              <w:left w:val="nil"/>
              <w:bottom w:val="nil"/>
              <w:right w:val="nil"/>
            </w:tcBorders>
            <w:shd w:val="clear" w:color="auto" w:fill="auto"/>
            <w:noWrap/>
            <w:vAlign w:val="bottom"/>
            <w:hideMark/>
          </w:tcPr>
          <w:p w14:paraId="791F4FA3"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413F22F7"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2E2D3639" w14:textId="40D2683A"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69FAEB87" w14:textId="77777777" w:rsidTr="00A76B74">
        <w:trPr>
          <w:trHeight w:val="300"/>
        </w:trPr>
        <w:tc>
          <w:tcPr>
            <w:tcW w:w="1620" w:type="dxa"/>
            <w:tcBorders>
              <w:top w:val="nil"/>
              <w:left w:val="nil"/>
              <w:bottom w:val="nil"/>
              <w:right w:val="nil"/>
            </w:tcBorders>
            <w:shd w:val="clear" w:color="auto" w:fill="auto"/>
            <w:noWrap/>
            <w:vAlign w:val="bottom"/>
            <w:hideMark/>
          </w:tcPr>
          <w:p w14:paraId="0856867A"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60</w:t>
            </w:r>
          </w:p>
        </w:tc>
        <w:tc>
          <w:tcPr>
            <w:tcW w:w="3060" w:type="dxa"/>
            <w:tcBorders>
              <w:top w:val="nil"/>
              <w:left w:val="nil"/>
              <w:bottom w:val="nil"/>
              <w:right w:val="nil"/>
            </w:tcBorders>
            <w:shd w:val="clear" w:color="auto" w:fill="auto"/>
            <w:noWrap/>
            <w:vAlign w:val="bottom"/>
            <w:hideMark/>
          </w:tcPr>
          <w:p w14:paraId="7A71BDCC" w14:textId="7AD032C0"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12.0110432</w:t>
            </w:r>
          </w:p>
        </w:tc>
        <w:tc>
          <w:tcPr>
            <w:tcW w:w="990" w:type="dxa"/>
            <w:tcBorders>
              <w:top w:val="nil"/>
              <w:left w:val="nil"/>
              <w:bottom w:val="nil"/>
              <w:right w:val="nil"/>
            </w:tcBorders>
            <w:shd w:val="clear" w:color="auto" w:fill="auto"/>
            <w:noWrap/>
            <w:vAlign w:val="bottom"/>
            <w:hideMark/>
          </w:tcPr>
          <w:p w14:paraId="788B4640"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1212EAEE"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ACB72AA" w14:textId="7701F741"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6488FADE" w14:textId="77777777" w:rsidTr="00A76B74">
        <w:trPr>
          <w:trHeight w:val="300"/>
        </w:trPr>
        <w:tc>
          <w:tcPr>
            <w:tcW w:w="1620" w:type="dxa"/>
            <w:tcBorders>
              <w:top w:val="nil"/>
              <w:left w:val="nil"/>
              <w:bottom w:val="nil"/>
              <w:right w:val="nil"/>
            </w:tcBorders>
            <w:shd w:val="clear" w:color="auto" w:fill="auto"/>
            <w:noWrap/>
            <w:vAlign w:val="bottom"/>
            <w:hideMark/>
          </w:tcPr>
          <w:p w14:paraId="5A2A78FA"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70</w:t>
            </w:r>
          </w:p>
        </w:tc>
        <w:tc>
          <w:tcPr>
            <w:tcW w:w="3060" w:type="dxa"/>
            <w:tcBorders>
              <w:top w:val="nil"/>
              <w:left w:val="nil"/>
              <w:bottom w:val="nil"/>
              <w:right w:val="nil"/>
            </w:tcBorders>
            <w:shd w:val="clear" w:color="auto" w:fill="auto"/>
            <w:noWrap/>
            <w:vAlign w:val="bottom"/>
            <w:hideMark/>
          </w:tcPr>
          <w:p w14:paraId="2A6FEDFB" w14:textId="1E676518"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12.00173656</w:t>
            </w:r>
          </w:p>
        </w:tc>
        <w:tc>
          <w:tcPr>
            <w:tcW w:w="990" w:type="dxa"/>
            <w:tcBorders>
              <w:top w:val="nil"/>
              <w:left w:val="nil"/>
              <w:bottom w:val="nil"/>
              <w:right w:val="nil"/>
            </w:tcBorders>
            <w:shd w:val="clear" w:color="auto" w:fill="auto"/>
            <w:noWrap/>
            <w:vAlign w:val="bottom"/>
            <w:hideMark/>
          </w:tcPr>
          <w:p w14:paraId="230983E3"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3F155CCD"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1960D4C" w14:textId="7FBBD7BC"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3F3E3C7B" w14:textId="77777777" w:rsidTr="00A76B74">
        <w:trPr>
          <w:trHeight w:val="300"/>
        </w:trPr>
        <w:tc>
          <w:tcPr>
            <w:tcW w:w="1620" w:type="dxa"/>
            <w:tcBorders>
              <w:top w:val="nil"/>
              <w:left w:val="nil"/>
              <w:bottom w:val="nil"/>
              <w:right w:val="nil"/>
            </w:tcBorders>
            <w:shd w:val="clear" w:color="auto" w:fill="auto"/>
            <w:noWrap/>
            <w:vAlign w:val="bottom"/>
            <w:hideMark/>
          </w:tcPr>
          <w:p w14:paraId="760D03D1"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80</w:t>
            </w:r>
          </w:p>
        </w:tc>
        <w:tc>
          <w:tcPr>
            <w:tcW w:w="3060" w:type="dxa"/>
            <w:tcBorders>
              <w:top w:val="nil"/>
              <w:left w:val="nil"/>
              <w:bottom w:val="nil"/>
              <w:right w:val="nil"/>
            </w:tcBorders>
            <w:shd w:val="clear" w:color="auto" w:fill="auto"/>
            <w:noWrap/>
            <w:vAlign w:val="bottom"/>
            <w:hideMark/>
          </w:tcPr>
          <w:p w14:paraId="6C585BB7" w14:textId="6EAD6ECD"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12.00027306</w:t>
            </w:r>
          </w:p>
        </w:tc>
        <w:tc>
          <w:tcPr>
            <w:tcW w:w="990" w:type="dxa"/>
            <w:tcBorders>
              <w:top w:val="nil"/>
              <w:left w:val="nil"/>
              <w:bottom w:val="nil"/>
              <w:right w:val="nil"/>
            </w:tcBorders>
            <w:shd w:val="clear" w:color="auto" w:fill="auto"/>
            <w:noWrap/>
            <w:vAlign w:val="bottom"/>
            <w:hideMark/>
          </w:tcPr>
          <w:p w14:paraId="14C35FD0"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263F6A6F"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9E2DCD1" w14:textId="76F369E5"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474B39DA" w14:textId="77777777" w:rsidTr="00A76B74">
        <w:trPr>
          <w:trHeight w:val="300"/>
        </w:trPr>
        <w:tc>
          <w:tcPr>
            <w:tcW w:w="1620" w:type="dxa"/>
            <w:tcBorders>
              <w:top w:val="nil"/>
              <w:left w:val="nil"/>
              <w:bottom w:val="nil"/>
              <w:right w:val="nil"/>
            </w:tcBorders>
            <w:shd w:val="clear" w:color="auto" w:fill="auto"/>
            <w:noWrap/>
            <w:vAlign w:val="bottom"/>
            <w:hideMark/>
          </w:tcPr>
          <w:p w14:paraId="51A30C81"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90</w:t>
            </w:r>
          </w:p>
        </w:tc>
        <w:tc>
          <w:tcPr>
            <w:tcW w:w="3060" w:type="dxa"/>
            <w:tcBorders>
              <w:top w:val="nil"/>
              <w:left w:val="nil"/>
              <w:bottom w:val="nil"/>
              <w:right w:val="nil"/>
            </w:tcBorders>
            <w:shd w:val="clear" w:color="auto" w:fill="auto"/>
            <w:noWrap/>
            <w:vAlign w:val="bottom"/>
            <w:hideMark/>
          </w:tcPr>
          <w:p w14:paraId="77239830" w14:textId="7A2CEF6B"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12.00004293</w:t>
            </w:r>
          </w:p>
        </w:tc>
        <w:tc>
          <w:tcPr>
            <w:tcW w:w="990" w:type="dxa"/>
            <w:tcBorders>
              <w:top w:val="nil"/>
              <w:left w:val="nil"/>
              <w:bottom w:val="nil"/>
              <w:right w:val="nil"/>
            </w:tcBorders>
            <w:shd w:val="clear" w:color="auto" w:fill="auto"/>
            <w:noWrap/>
            <w:vAlign w:val="bottom"/>
            <w:hideMark/>
          </w:tcPr>
          <w:p w14:paraId="2B9255C9"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27F1CCAC"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0245B55C" w14:textId="72EEE742"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r w:rsidR="0020522D" w:rsidRPr="00A76B74" w14:paraId="3176B1A6" w14:textId="77777777" w:rsidTr="00A76B74">
        <w:trPr>
          <w:trHeight w:val="300"/>
        </w:trPr>
        <w:tc>
          <w:tcPr>
            <w:tcW w:w="1620" w:type="dxa"/>
            <w:tcBorders>
              <w:top w:val="nil"/>
              <w:left w:val="nil"/>
              <w:bottom w:val="nil"/>
              <w:right w:val="nil"/>
            </w:tcBorders>
            <w:shd w:val="clear" w:color="auto" w:fill="auto"/>
            <w:noWrap/>
            <w:vAlign w:val="bottom"/>
            <w:hideMark/>
          </w:tcPr>
          <w:p w14:paraId="2BF73937"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100</w:t>
            </w:r>
          </w:p>
        </w:tc>
        <w:tc>
          <w:tcPr>
            <w:tcW w:w="3060" w:type="dxa"/>
            <w:tcBorders>
              <w:top w:val="nil"/>
              <w:left w:val="nil"/>
              <w:bottom w:val="nil"/>
              <w:right w:val="nil"/>
            </w:tcBorders>
            <w:shd w:val="clear" w:color="auto" w:fill="auto"/>
            <w:noWrap/>
            <w:vAlign w:val="bottom"/>
            <w:hideMark/>
          </w:tcPr>
          <w:p w14:paraId="465AB55E" w14:textId="2DF1BF22" w:rsidR="0020522D" w:rsidRPr="00A76B74" w:rsidRDefault="0020522D" w:rsidP="0020522D">
            <w:pPr>
              <w:spacing w:after="0" w:line="240" w:lineRule="auto"/>
              <w:jc w:val="right"/>
              <w:rPr>
                <w:rFonts w:ascii="Segoe UI" w:eastAsia="Times New Roman" w:hAnsi="Segoe UI" w:cs="Segoe UI"/>
                <w:color w:val="000000"/>
              </w:rPr>
            </w:pPr>
            <w:r w:rsidRPr="00114C75">
              <w:rPr>
                <w:rFonts w:ascii="Segoe UI" w:hAnsi="Segoe UI" w:cs="Segoe UI"/>
                <w:color w:val="000000"/>
              </w:rPr>
              <w:t>12.00000675</w:t>
            </w:r>
          </w:p>
        </w:tc>
        <w:tc>
          <w:tcPr>
            <w:tcW w:w="990" w:type="dxa"/>
            <w:tcBorders>
              <w:top w:val="nil"/>
              <w:left w:val="nil"/>
              <w:bottom w:val="nil"/>
              <w:right w:val="nil"/>
            </w:tcBorders>
            <w:shd w:val="clear" w:color="auto" w:fill="auto"/>
            <w:noWrap/>
            <w:vAlign w:val="bottom"/>
            <w:hideMark/>
          </w:tcPr>
          <w:p w14:paraId="20ECAE71"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32ECEFFB" w14:textId="77777777"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46BF3C3C" w14:textId="4F6668F1" w:rsidR="0020522D" w:rsidRPr="00A76B74" w:rsidRDefault="0020522D" w:rsidP="0020522D">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w:t>
            </w:r>
            <w:r>
              <w:rPr>
                <w:rFonts w:ascii="Segoe UI" w:eastAsia="Times New Roman" w:hAnsi="Segoe UI" w:cs="Segoe UI"/>
                <w:color w:val="000000"/>
              </w:rPr>
              <w:t>00</w:t>
            </w:r>
          </w:p>
        </w:tc>
      </w:tr>
    </w:tbl>
    <w:p w14:paraId="080AFBD3" w14:textId="33756EDC" w:rsidR="00C368E1" w:rsidRPr="00A76B74" w:rsidRDefault="00C368E1" w:rsidP="00FE0E31">
      <w:pPr>
        <w:rPr>
          <w:rFonts w:ascii="Segoe UI" w:hAnsi="Segoe UI" w:cs="Segoe UI"/>
        </w:rPr>
      </w:pPr>
    </w:p>
    <w:p w14:paraId="6242CA3F" w14:textId="6FEB49D3" w:rsidR="00292BF2" w:rsidRPr="00A76B74" w:rsidRDefault="00624C88" w:rsidP="00292BF2">
      <w:pPr>
        <w:pStyle w:val="Heading2"/>
        <w:rPr>
          <w:rFonts w:ascii="Segoe UI" w:hAnsi="Segoe UI" w:cs="Segoe UI"/>
        </w:rPr>
      </w:pPr>
      <w:r w:rsidRPr="00A76B74">
        <w:rPr>
          <w:rFonts w:ascii="Segoe UI" w:hAnsi="Segoe UI" w:cs="Segoe UI"/>
        </w:rPr>
        <w:lastRenderedPageBreak/>
        <w:t>Additional References</w:t>
      </w:r>
    </w:p>
    <w:p w14:paraId="6CBEEE04" w14:textId="1F3370C3" w:rsidR="00292BF2" w:rsidRPr="00A76B74" w:rsidRDefault="00292BF2" w:rsidP="00292BF2">
      <w:pPr>
        <w:rPr>
          <w:rFonts w:ascii="Segoe UI" w:hAnsi="Segoe UI" w:cs="Segoe UI"/>
        </w:rPr>
      </w:pPr>
      <w:r w:rsidRPr="00A76B74">
        <w:rPr>
          <w:rFonts w:ascii="Segoe UI" w:hAnsi="Segoe UI" w:cs="Segoe UI"/>
        </w:rPr>
        <w:t xml:space="preserve">Jensen, D. W., E. A. Steel, A. H. Fullerton, and G. R. </w:t>
      </w:r>
      <w:proofErr w:type="spellStart"/>
      <w:r w:rsidRPr="00A76B74">
        <w:rPr>
          <w:rFonts w:ascii="Segoe UI" w:hAnsi="Segoe UI" w:cs="Segoe UI"/>
        </w:rPr>
        <w:t>Pess</w:t>
      </w:r>
      <w:proofErr w:type="spellEnd"/>
      <w:r w:rsidRPr="00A76B74">
        <w:rPr>
          <w:rFonts w:ascii="Segoe UI" w:hAnsi="Segoe UI" w:cs="Segoe UI"/>
        </w:rPr>
        <w:t>. 2009. Impact of fine sediment on incubation survival of Pacific salmon: a meta-analysis of published studies. Reviews in Fisheries Science 17(3):348-359.</w:t>
      </w:r>
    </w:p>
    <w:p w14:paraId="1379B4F8" w14:textId="279295EC" w:rsidR="00BF5357" w:rsidRPr="00A76B74" w:rsidRDefault="00BF5357" w:rsidP="00292BF2">
      <w:pPr>
        <w:rPr>
          <w:rFonts w:ascii="Segoe UI" w:hAnsi="Segoe UI" w:cs="Segoe UI"/>
        </w:rPr>
      </w:pPr>
      <w:proofErr w:type="spellStart"/>
      <w:r w:rsidRPr="00A76B74">
        <w:rPr>
          <w:rFonts w:ascii="Segoe UI" w:hAnsi="Segoe UI" w:cs="Segoe UI"/>
        </w:rPr>
        <w:t>Mobrand</w:t>
      </w:r>
      <w:proofErr w:type="spellEnd"/>
      <w:r w:rsidRPr="00A76B74">
        <w:rPr>
          <w:rFonts w:ascii="Segoe UI" w:hAnsi="Segoe UI" w:cs="Segoe UI"/>
        </w:rPr>
        <w:t xml:space="preserve"> Biometrics, Inc. 2003. Assessment of Salmon and Steelhead Performance in the Chehalis River Basin in Relation to Habitat Conditions and Strategic Priorities for Conservation and Recovery Actions. </w:t>
      </w:r>
      <w:proofErr w:type="spellStart"/>
      <w:r w:rsidRPr="00A76B74">
        <w:rPr>
          <w:rFonts w:ascii="Segoe UI" w:hAnsi="Segoe UI" w:cs="Segoe UI"/>
        </w:rPr>
        <w:t>Mobrand</w:t>
      </w:r>
      <w:proofErr w:type="spellEnd"/>
      <w:r w:rsidRPr="00A76B74">
        <w:rPr>
          <w:rFonts w:ascii="Segoe UI" w:hAnsi="Segoe UI" w:cs="Segoe UI"/>
        </w:rPr>
        <w:t xml:space="preserve"> Biometrics, Inc. Vashon, WA.</w:t>
      </w:r>
    </w:p>
    <w:sectPr w:rsidR="00BF5357" w:rsidRPr="00A76B74">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Bayly" w:date="2023-03-05T16:58:00Z" w:initials="MB">
    <w:p w14:paraId="560E5978" w14:textId="77777777" w:rsidR="00B80F58" w:rsidRDefault="00B80F58" w:rsidP="00DE7309">
      <w:pPr>
        <w:pStyle w:val="CommentText"/>
      </w:pPr>
      <w:r>
        <w:rPr>
          <w:rStyle w:val="CommentReference"/>
        </w:rPr>
        <w:annotationRef/>
      </w:r>
      <w:r>
        <w:rPr>
          <w:lang w:val="en-CA"/>
        </w:rPr>
        <w:t>In cases like this we should set up the SR database to use a junction table to link stressors to species. This would allow a given SR function to be linked to one or more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E59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489B" w16cex:dateUtc="2023-03-06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E5978" w16cid:durableId="27AF48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C96A" w14:textId="77777777" w:rsidR="00466750" w:rsidRDefault="00466750" w:rsidP="00E7799D">
      <w:pPr>
        <w:spacing w:after="0" w:line="240" w:lineRule="auto"/>
      </w:pPr>
      <w:r>
        <w:separator/>
      </w:r>
    </w:p>
  </w:endnote>
  <w:endnote w:type="continuationSeparator" w:id="0">
    <w:p w14:paraId="315F0E00" w14:textId="77777777" w:rsidR="00466750" w:rsidRDefault="00466750" w:rsidP="00E7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76"/>
      <w:docPartObj>
        <w:docPartGallery w:val="Page Numbers (Bottom of Page)"/>
        <w:docPartUnique/>
      </w:docPartObj>
    </w:sdtPr>
    <w:sdtEndPr>
      <w:rPr>
        <w:noProof/>
      </w:rPr>
    </w:sdtEndPr>
    <w:sdtContent>
      <w:p w14:paraId="5D88F19A" w14:textId="29A996B9" w:rsidR="00E7799D" w:rsidRDefault="00E779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6CF0A" w14:textId="77777777" w:rsidR="00E7799D" w:rsidRDefault="00E7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8918" w14:textId="77777777" w:rsidR="00466750" w:rsidRDefault="00466750" w:rsidP="00E7799D">
      <w:pPr>
        <w:spacing w:after="0" w:line="240" w:lineRule="auto"/>
      </w:pPr>
      <w:r>
        <w:separator/>
      </w:r>
    </w:p>
  </w:footnote>
  <w:footnote w:type="continuationSeparator" w:id="0">
    <w:p w14:paraId="03E55069" w14:textId="77777777" w:rsidR="00466750" w:rsidRDefault="00466750" w:rsidP="00E7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8403" w14:textId="6D106332" w:rsidR="00C368E1" w:rsidRDefault="00C368E1" w:rsidP="00C368E1">
    <w:pPr>
      <w:pStyle w:val="Header"/>
    </w:pPr>
    <w:r>
      <w:t>Stressor-Response Function Library Documentation</w:t>
    </w:r>
    <w:r>
      <w:tab/>
    </w:r>
    <w:r>
      <w:tab/>
    </w:r>
    <w:r w:rsidR="00F31CC4">
      <w:t>CEM-PRA / Joe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E44"/>
    <w:multiLevelType w:val="hybridMultilevel"/>
    <w:tmpl w:val="A5066BA8"/>
    <w:lvl w:ilvl="0" w:tplc="2DA09D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0690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ayly">
    <w15:presenceInfo w15:providerId="AD" w15:userId="S::mjbayly@mjbayly.com::d592f3f1-4d2c-4670-9ba9-d69c8c7e1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F"/>
    <w:rsid w:val="0000394A"/>
    <w:rsid w:val="000165A3"/>
    <w:rsid w:val="00016D31"/>
    <w:rsid w:val="00034B87"/>
    <w:rsid w:val="00051987"/>
    <w:rsid w:val="000704DD"/>
    <w:rsid w:val="00091F44"/>
    <w:rsid w:val="000A4060"/>
    <w:rsid w:val="000C05EC"/>
    <w:rsid w:val="000C7EB5"/>
    <w:rsid w:val="00111BAA"/>
    <w:rsid w:val="00136E90"/>
    <w:rsid w:val="001420C8"/>
    <w:rsid w:val="0015760F"/>
    <w:rsid w:val="001C367C"/>
    <w:rsid w:val="001F3347"/>
    <w:rsid w:val="0020522D"/>
    <w:rsid w:val="00222550"/>
    <w:rsid w:val="0025717C"/>
    <w:rsid w:val="002927B0"/>
    <w:rsid w:val="00292BF2"/>
    <w:rsid w:val="002A606B"/>
    <w:rsid w:val="002B565B"/>
    <w:rsid w:val="002F39A9"/>
    <w:rsid w:val="00300110"/>
    <w:rsid w:val="0030283A"/>
    <w:rsid w:val="00333CCD"/>
    <w:rsid w:val="003920D0"/>
    <w:rsid w:val="003962F6"/>
    <w:rsid w:val="003A4326"/>
    <w:rsid w:val="003F4A21"/>
    <w:rsid w:val="004020F5"/>
    <w:rsid w:val="0040711D"/>
    <w:rsid w:val="00410060"/>
    <w:rsid w:val="004148F9"/>
    <w:rsid w:val="00461ECF"/>
    <w:rsid w:val="00466750"/>
    <w:rsid w:val="00473F2E"/>
    <w:rsid w:val="004A0AF1"/>
    <w:rsid w:val="004A26D1"/>
    <w:rsid w:val="004F1208"/>
    <w:rsid w:val="0051275E"/>
    <w:rsid w:val="005455A7"/>
    <w:rsid w:val="00551BD6"/>
    <w:rsid w:val="005774CA"/>
    <w:rsid w:val="005A0F5A"/>
    <w:rsid w:val="00624C88"/>
    <w:rsid w:val="00665B9C"/>
    <w:rsid w:val="0067196A"/>
    <w:rsid w:val="006866CA"/>
    <w:rsid w:val="0068676B"/>
    <w:rsid w:val="006938CB"/>
    <w:rsid w:val="00693A57"/>
    <w:rsid w:val="006A1B46"/>
    <w:rsid w:val="006A4C92"/>
    <w:rsid w:val="006B0568"/>
    <w:rsid w:val="006C2907"/>
    <w:rsid w:val="006F0E0E"/>
    <w:rsid w:val="006F4B76"/>
    <w:rsid w:val="00712C79"/>
    <w:rsid w:val="007254D0"/>
    <w:rsid w:val="00733E49"/>
    <w:rsid w:val="00745407"/>
    <w:rsid w:val="007816A5"/>
    <w:rsid w:val="00790181"/>
    <w:rsid w:val="00790908"/>
    <w:rsid w:val="007C60FC"/>
    <w:rsid w:val="007E54DE"/>
    <w:rsid w:val="007F5F85"/>
    <w:rsid w:val="007F65BD"/>
    <w:rsid w:val="00806EDA"/>
    <w:rsid w:val="0081271C"/>
    <w:rsid w:val="0083033B"/>
    <w:rsid w:val="0083377C"/>
    <w:rsid w:val="00875CBF"/>
    <w:rsid w:val="00890794"/>
    <w:rsid w:val="008A7FCC"/>
    <w:rsid w:val="008B7276"/>
    <w:rsid w:val="008D1B39"/>
    <w:rsid w:val="008E249D"/>
    <w:rsid w:val="008E43D9"/>
    <w:rsid w:val="008E5698"/>
    <w:rsid w:val="0091716B"/>
    <w:rsid w:val="00917619"/>
    <w:rsid w:val="00925C30"/>
    <w:rsid w:val="009424C3"/>
    <w:rsid w:val="0096401D"/>
    <w:rsid w:val="00964506"/>
    <w:rsid w:val="00966667"/>
    <w:rsid w:val="009761D9"/>
    <w:rsid w:val="00976BD5"/>
    <w:rsid w:val="009A1B5A"/>
    <w:rsid w:val="009B0615"/>
    <w:rsid w:val="009B6532"/>
    <w:rsid w:val="009D6BE2"/>
    <w:rsid w:val="00A476F5"/>
    <w:rsid w:val="00A76B74"/>
    <w:rsid w:val="00AA0B1E"/>
    <w:rsid w:val="00AB0918"/>
    <w:rsid w:val="00AC497F"/>
    <w:rsid w:val="00AC7CC4"/>
    <w:rsid w:val="00AD179F"/>
    <w:rsid w:val="00AE6E92"/>
    <w:rsid w:val="00B2188D"/>
    <w:rsid w:val="00B25A83"/>
    <w:rsid w:val="00B62FE8"/>
    <w:rsid w:val="00B80F58"/>
    <w:rsid w:val="00BC5615"/>
    <w:rsid w:val="00BD3771"/>
    <w:rsid w:val="00BE6BC7"/>
    <w:rsid w:val="00BF5357"/>
    <w:rsid w:val="00C14ADF"/>
    <w:rsid w:val="00C23194"/>
    <w:rsid w:val="00C368E1"/>
    <w:rsid w:val="00C3774E"/>
    <w:rsid w:val="00CC4EB3"/>
    <w:rsid w:val="00D065C4"/>
    <w:rsid w:val="00D06AF6"/>
    <w:rsid w:val="00D4147A"/>
    <w:rsid w:val="00D5042F"/>
    <w:rsid w:val="00D60138"/>
    <w:rsid w:val="00D91137"/>
    <w:rsid w:val="00DA7DB6"/>
    <w:rsid w:val="00E44F2B"/>
    <w:rsid w:val="00E518C5"/>
    <w:rsid w:val="00E7799D"/>
    <w:rsid w:val="00EA091E"/>
    <w:rsid w:val="00EE401F"/>
    <w:rsid w:val="00EF0F4E"/>
    <w:rsid w:val="00EF3CF4"/>
    <w:rsid w:val="00EF3EAA"/>
    <w:rsid w:val="00F14B64"/>
    <w:rsid w:val="00F23666"/>
    <w:rsid w:val="00F31CC4"/>
    <w:rsid w:val="00F32B87"/>
    <w:rsid w:val="00F80003"/>
    <w:rsid w:val="00F8339C"/>
    <w:rsid w:val="00F91C01"/>
    <w:rsid w:val="00FB0A87"/>
    <w:rsid w:val="00FB6946"/>
    <w:rsid w:val="00FE0CD4"/>
    <w:rsid w:val="00FE0E31"/>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C4C5"/>
  <w15:chartTrackingRefBased/>
  <w15:docId w15:val="{85D0BD1C-F130-429B-B588-8EBBC9FB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5"/>
  </w:style>
  <w:style w:type="paragraph" w:styleId="Heading1">
    <w:name w:val="heading 1"/>
    <w:basedOn w:val="Normal"/>
    <w:next w:val="Normal"/>
    <w:link w:val="Heading1Char"/>
    <w:uiPriority w:val="9"/>
    <w:qFormat/>
    <w:rsid w:val="007F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8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5F8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5F85"/>
    <w:pPr>
      <w:keepNext/>
      <w:keepLines/>
      <w:spacing w:before="40" w:after="0"/>
      <w:outlineLvl w:val="3"/>
    </w:pPr>
    <w:rPr>
      <w:i/>
      <w:iCs/>
    </w:rPr>
  </w:style>
  <w:style w:type="paragraph" w:styleId="Heading5">
    <w:name w:val="heading 5"/>
    <w:basedOn w:val="Normal"/>
    <w:next w:val="Normal"/>
    <w:link w:val="Heading5Char"/>
    <w:uiPriority w:val="9"/>
    <w:unhideWhenUsed/>
    <w:qFormat/>
    <w:rsid w:val="007F5F85"/>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5F85"/>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5F8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5F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5F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F8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5F8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5F85"/>
    <w:rPr>
      <w:i/>
      <w:iCs/>
    </w:rPr>
  </w:style>
  <w:style w:type="character" w:customStyle="1" w:styleId="Heading5Char">
    <w:name w:val="Heading 5 Char"/>
    <w:basedOn w:val="DefaultParagraphFont"/>
    <w:link w:val="Heading5"/>
    <w:uiPriority w:val="9"/>
    <w:rsid w:val="007F5F85"/>
    <w:rPr>
      <w:color w:val="2F5496" w:themeColor="accent1" w:themeShade="BF"/>
    </w:rPr>
  </w:style>
  <w:style w:type="character" w:customStyle="1" w:styleId="Heading6Char">
    <w:name w:val="Heading 6 Char"/>
    <w:basedOn w:val="DefaultParagraphFont"/>
    <w:link w:val="Heading6"/>
    <w:uiPriority w:val="9"/>
    <w:semiHidden/>
    <w:rsid w:val="007F5F85"/>
    <w:rPr>
      <w:color w:val="1F3864" w:themeColor="accent1" w:themeShade="80"/>
    </w:rPr>
  </w:style>
  <w:style w:type="character" w:customStyle="1" w:styleId="Heading7Char">
    <w:name w:val="Heading 7 Char"/>
    <w:basedOn w:val="DefaultParagraphFont"/>
    <w:link w:val="Heading7"/>
    <w:uiPriority w:val="9"/>
    <w:semiHidden/>
    <w:rsid w:val="007F5F8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5F85"/>
    <w:rPr>
      <w:color w:val="262626" w:themeColor="text1" w:themeTint="D9"/>
      <w:sz w:val="21"/>
      <w:szCs w:val="21"/>
    </w:rPr>
  </w:style>
  <w:style w:type="character" w:customStyle="1" w:styleId="Heading9Char">
    <w:name w:val="Heading 9 Char"/>
    <w:basedOn w:val="DefaultParagraphFont"/>
    <w:link w:val="Heading9"/>
    <w:uiPriority w:val="9"/>
    <w:semiHidden/>
    <w:rsid w:val="007F5F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F5F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5F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5F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5F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F85"/>
    <w:rPr>
      <w:color w:val="5A5A5A" w:themeColor="text1" w:themeTint="A5"/>
      <w:spacing w:val="15"/>
    </w:rPr>
  </w:style>
  <w:style w:type="character" w:styleId="Strong">
    <w:name w:val="Strong"/>
    <w:basedOn w:val="DefaultParagraphFont"/>
    <w:uiPriority w:val="22"/>
    <w:qFormat/>
    <w:rsid w:val="007F5F85"/>
    <w:rPr>
      <w:b/>
      <w:bCs/>
      <w:color w:val="auto"/>
    </w:rPr>
  </w:style>
  <w:style w:type="character" w:styleId="Emphasis">
    <w:name w:val="Emphasis"/>
    <w:basedOn w:val="DefaultParagraphFont"/>
    <w:uiPriority w:val="20"/>
    <w:qFormat/>
    <w:rsid w:val="007F5F85"/>
    <w:rPr>
      <w:i/>
      <w:iCs/>
      <w:color w:val="auto"/>
    </w:rPr>
  </w:style>
  <w:style w:type="paragraph" w:styleId="NoSpacing">
    <w:name w:val="No Spacing"/>
    <w:uiPriority w:val="1"/>
    <w:qFormat/>
    <w:rsid w:val="007F5F85"/>
    <w:pPr>
      <w:spacing w:after="0" w:line="240" w:lineRule="auto"/>
    </w:pPr>
  </w:style>
  <w:style w:type="paragraph" w:styleId="Quote">
    <w:name w:val="Quote"/>
    <w:basedOn w:val="Normal"/>
    <w:next w:val="Normal"/>
    <w:link w:val="QuoteChar"/>
    <w:uiPriority w:val="29"/>
    <w:qFormat/>
    <w:rsid w:val="007F5F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5F85"/>
    <w:rPr>
      <w:i/>
      <w:iCs/>
      <w:color w:val="404040" w:themeColor="text1" w:themeTint="BF"/>
    </w:rPr>
  </w:style>
  <w:style w:type="paragraph" w:styleId="IntenseQuote">
    <w:name w:val="Intense Quote"/>
    <w:basedOn w:val="Normal"/>
    <w:next w:val="Normal"/>
    <w:link w:val="IntenseQuoteChar"/>
    <w:uiPriority w:val="30"/>
    <w:qFormat/>
    <w:rsid w:val="007F5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5"/>
    <w:rPr>
      <w:i/>
      <w:iCs/>
      <w:color w:val="4472C4" w:themeColor="accent1"/>
    </w:rPr>
  </w:style>
  <w:style w:type="character" w:styleId="SubtleEmphasis">
    <w:name w:val="Subtle Emphasis"/>
    <w:basedOn w:val="DefaultParagraphFont"/>
    <w:uiPriority w:val="19"/>
    <w:qFormat/>
    <w:rsid w:val="007F5F85"/>
    <w:rPr>
      <w:i/>
      <w:iCs/>
      <w:color w:val="404040" w:themeColor="text1" w:themeTint="BF"/>
    </w:rPr>
  </w:style>
  <w:style w:type="character" w:styleId="IntenseEmphasis">
    <w:name w:val="Intense Emphasis"/>
    <w:basedOn w:val="DefaultParagraphFont"/>
    <w:uiPriority w:val="21"/>
    <w:qFormat/>
    <w:rsid w:val="007F5F85"/>
    <w:rPr>
      <w:i/>
      <w:iCs/>
      <w:color w:val="4472C4" w:themeColor="accent1"/>
    </w:rPr>
  </w:style>
  <w:style w:type="character" w:styleId="SubtleReference">
    <w:name w:val="Subtle Reference"/>
    <w:basedOn w:val="DefaultParagraphFont"/>
    <w:uiPriority w:val="31"/>
    <w:qFormat/>
    <w:rsid w:val="007F5F85"/>
    <w:rPr>
      <w:smallCaps/>
      <w:color w:val="404040" w:themeColor="text1" w:themeTint="BF"/>
    </w:rPr>
  </w:style>
  <w:style w:type="character" w:styleId="IntenseReference">
    <w:name w:val="Intense Reference"/>
    <w:basedOn w:val="DefaultParagraphFont"/>
    <w:uiPriority w:val="32"/>
    <w:qFormat/>
    <w:rsid w:val="007F5F85"/>
    <w:rPr>
      <w:b/>
      <w:bCs/>
      <w:smallCaps/>
      <w:color w:val="4472C4" w:themeColor="accent1"/>
      <w:spacing w:val="5"/>
    </w:rPr>
  </w:style>
  <w:style w:type="character" w:styleId="BookTitle">
    <w:name w:val="Book Title"/>
    <w:basedOn w:val="DefaultParagraphFont"/>
    <w:uiPriority w:val="33"/>
    <w:qFormat/>
    <w:rsid w:val="007F5F85"/>
    <w:rPr>
      <w:b/>
      <w:bCs/>
      <w:i/>
      <w:iCs/>
      <w:spacing w:val="5"/>
    </w:rPr>
  </w:style>
  <w:style w:type="paragraph" w:styleId="TOCHeading">
    <w:name w:val="TOC Heading"/>
    <w:basedOn w:val="Heading1"/>
    <w:next w:val="Normal"/>
    <w:uiPriority w:val="39"/>
    <w:semiHidden/>
    <w:unhideWhenUsed/>
    <w:qFormat/>
    <w:rsid w:val="007F5F85"/>
    <w:pPr>
      <w:outlineLvl w:val="9"/>
    </w:pPr>
  </w:style>
  <w:style w:type="paragraph" w:styleId="Header">
    <w:name w:val="header"/>
    <w:basedOn w:val="Normal"/>
    <w:link w:val="HeaderChar"/>
    <w:uiPriority w:val="99"/>
    <w:unhideWhenUsed/>
    <w:rsid w:val="00E7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9D"/>
  </w:style>
  <w:style w:type="paragraph" w:styleId="Footer">
    <w:name w:val="footer"/>
    <w:basedOn w:val="Normal"/>
    <w:link w:val="FooterChar"/>
    <w:uiPriority w:val="99"/>
    <w:unhideWhenUsed/>
    <w:rsid w:val="00E7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9D"/>
  </w:style>
  <w:style w:type="character" w:styleId="PlaceholderText">
    <w:name w:val="Placeholder Text"/>
    <w:basedOn w:val="DefaultParagraphFont"/>
    <w:uiPriority w:val="99"/>
    <w:semiHidden/>
    <w:rsid w:val="006C2907"/>
    <w:rPr>
      <w:color w:val="808080"/>
    </w:rPr>
  </w:style>
  <w:style w:type="character" w:styleId="CommentReference">
    <w:name w:val="annotation reference"/>
    <w:basedOn w:val="DefaultParagraphFont"/>
    <w:uiPriority w:val="99"/>
    <w:semiHidden/>
    <w:unhideWhenUsed/>
    <w:rsid w:val="00A476F5"/>
    <w:rPr>
      <w:sz w:val="16"/>
      <w:szCs w:val="16"/>
    </w:rPr>
  </w:style>
  <w:style w:type="paragraph" w:styleId="CommentText">
    <w:name w:val="annotation text"/>
    <w:basedOn w:val="Normal"/>
    <w:link w:val="CommentTextChar"/>
    <w:uiPriority w:val="99"/>
    <w:unhideWhenUsed/>
    <w:rsid w:val="00A476F5"/>
    <w:pPr>
      <w:spacing w:line="240" w:lineRule="auto"/>
    </w:pPr>
    <w:rPr>
      <w:sz w:val="20"/>
      <w:szCs w:val="20"/>
    </w:rPr>
  </w:style>
  <w:style w:type="character" w:customStyle="1" w:styleId="CommentTextChar">
    <w:name w:val="Comment Text Char"/>
    <w:basedOn w:val="DefaultParagraphFont"/>
    <w:link w:val="CommentText"/>
    <w:uiPriority w:val="99"/>
    <w:rsid w:val="00A476F5"/>
    <w:rPr>
      <w:sz w:val="20"/>
      <w:szCs w:val="20"/>
    </w:rPr>
  </w:style>
  <w:style w:type="paragraph" w:styleId="CommentSubject">
    <w:name w:val="annotation subject"/>
    <w:basedOn w:val="CommentText"/>
    <w:next w:val="CommentText"/>
    <w:link w:val="CommentSubjectChar"/>
    <w:uiPriority w:val="99"/>
    <w:semiHidden/>
    <w:unhideWhenUsed/>
    <w:rsid w:val="00A476F5"/>
    <w:rPr>
      <w:b/>
      <w:bCs/>
    </w:rPr>
  </w:style>
  <w:style w:type="character" w:customStyle="1" w:styleId="CommentSubjectChar">
    <w:name w:val="Comment Subject Char"/>
    <w:basedOn w:val="CommentTextChar"/>
    <w:link w:val="CommentSubject"/>
    <w:uiPriority w:val="99"/>
    <w:semiHidden/>
    <w:rsid w:val="00A476F5"/>
    <w:rPr>
      <w:b/>
      <w:bCs/>
      <w:sz w:val="20"/>
      <w:szCs w:val="20"/>
    </w:rPr>
  </w:style>
  <w:style w:type="table" w:styleId="TableGrid">
    <w:name w:val="Table Grid"/>
    <w:basedOn w:val="TableNormal"/>
    <w:uiPriority w:val="39"/>
    <w:rsid w:val="0041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138"/>
    <w:pPr>
      <w:spacing w:after="0" w:line="240" w:lineRule="auto"/>
    </w:pPr>
  </w:style>
  <w:style w:type="paragraph" w:styleId="ListParagraph">
    <w:name w:val="List Paragraph"/>
    <w:basedOn w:val="Normal"/>
    <w:uiPriority w:val="34"/>
    <w:qFormat/>
    <w:rsid w:val="00D60138"/>
    <w:pPr>
      <w:ind w:left="720"/>
      <w:contextualSpacing/>
    </w:pPr>
  </w:style>
  <w:style w:type="character" w:customStyle="1" w:styleId="ui-provider">
    <w:name w:val="ui-provider"/>
    <w:basedOn w:val="DefaultParagraphFont"/>
    <w:rsid w:val="00FE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45254">
      <w:bodyDiv w:val="1"/>
      <w:marLeft w:val="0"/>
      <w:marRight w:val="0"/>
      <w:marTop w:val="0"/>
      <w:marBottom w:val="0"/>
      <w:divBdr>
        <w:top w:val="none" w:sz="0" w:space="0" w:color="auto"/>
        <w:left w:val="none" w:sz="0" w:space="0" w:color="auto"/>
        <w:bottom w:val="none" w:sz="0" w:space="0" w:color="auto"/>
        <w:right w:val="none" w:sz="0" w:space="0" w:color="auto"/>
      </w:divBdr>
    </w:div>
    <w:div w:id="1122382647">
      <w:bodyDiv w:val="1"/>
      <w:marLeft w:val="0"/>
      <w:marRight w:val="0"/>
      <w:marTop w:val="0"/>
      <w:marBottom w:val="0"/>
      <w:divBdr>
        <w:top w:val="none" w:sz="0" w:space="0" w:color="auto"/>
        <w:left w:val="none" w:sz="0" w:space="0" w:color="auto"/>
        <w:bottom w:val="none" w:sz="0" w:space="0" w:color="auto"/>
        <w:right w:val="none" w:sz="0" w:space="0" w:color="auto"/>
      </w:divBdr>
    </w:div>
    <w:div w:id="18854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2ADE518E-081E-4CC1-ACC6-35E4B6466526}"/>
      </w:docPartPr>
      <w:docPartBody>
        <w:p w:rsidR="00500BA2" w:rsidRDefault="0024694E">
          <w:r w:rsidRPr="005C51F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4E"/>
    <w:rsid w:val="0003651E"/>
    <w:rsid w:val="000669DF"/>
    <w:rsid w:val="00096F3C"/>
    <w:rsid w:val="002211B5"/>
    <w:rsid w:val="0024694E"/>
    <w:rsid w:val="003D5424"/>
    <w:rsid w:val="004119BA"/>
    <w:rsid w:val="00440A13"/>
    <w:rsid w:val="00500BA2"/>
    <w:rsid w:val="00742B8B"/>
    <w:rsid w:val="007A18FD"/>
    <w:rsid w:val="007A53AD"/>
    <w:rsid w:val="00940F8E"/>
    <w:rsid w:val="009F37C2"/>
    <w:rsid w:val="00A46255"/>
    <w:rsid w:val="00AC56DC"/>
    <w:rsid w:val="00B25D44"/>
    <w:rsid w:val="00C5253E"/>
    <w:rsid w:val="00DA2170"/>
    <w:rsid w:val="00E00D7C"/>
    <w:rsid w:val="00F9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5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AD97-3C87-42C0-AF96-D4FF8D2C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6</cp:revision>
  <dcterms:created xsi:type="dcterms:W3CDTF">2023-03-06T01:11:00Z</dcterms:created>
  <dcterms:modified xsi:type="dcterms:W3CDTF">2023-03-14T14:29:00Z</dcterms:modified>
</cp:coreProperties>
</file>