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Onboarding — Discovery Call Sheet</w:t>
      </w:r>
    </w:p>
    <w:p>
      <w:r>
        <w:rPr>
          <w:b/>
        </w:rPr>
        <w:t>Audience:</w:t>
      </w:r>
      <w:r>
        <w:t xml:space="preserve"> Implementation / CS (customer-facing) </w:t>
      </w:r>
      <w:r>
        <w:rPr>
          <w:b/>
        </w:rPr>
        <w:t>Use:</w:t>
      </w:r>
      <w:r>
        <w:t xml:space="preserve"> First discovery call attachment or Notion paste </w:t>
      </w:r>
      <w:r>
        <w:rPr>
          <w:b/>
        </w:rPr>
        <w:t>Principle:</w:t>
      </w:r>
      <w:r>
        <w:t xml:space="preserve"> Under ~15 minutes on first pass — ask only what systems cannot discover. </w:t>
      </w:r>
      <w:r>
        <w:rPr>
          <w:b/>
        </w:rPr>
        <w:t>Source of truth for formal fields:</w:t>
      </w:r>
      <w:r>
        <w:t xml:space="preserve"> Customer Environment Profile (CEP / ABS-009) v1.0</w:t>
      </w:r>
    </w:p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>How to use this sheet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4896"/>
        <w:gridCol w:w="4896"/>
      </w:tblGrid>
      <w:tr>
        <w:tc>
          <w:tcPr>
            <w:tcW w:type="dxa" w:w="4896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4896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Meaning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CEP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Documented Customer Environment Profile field — safe to treat as formal onboarding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Gate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Concrete ARR / subscription decision from GPES + Billing CKR — blocks ARR until answered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Recommended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Reconstructed from product methodology docs — </w:t>
            </w:r>
            <w:r>
              <w:rPr>
                <w:rFonts w:ascii="Calibri" w:hAnsi="Calibri"/>
                <w:b/>
                <w:sz w:val="18"/>
              </w:rPr>
              <w:t>not yet a formal CEP field</w:t>
            </w:r>
            <w:r>
              <w:rPr>
                <w:rFonts w:ascii="Calibri" w:hAnsi="Calibri"/>
                <w:sz w:val="18"/>
              </w:rPr>
              <w:t>; do not over-claim</w:t>
            </w:r>
          </w:p>
        </w:tc>
      </w:tr>
    </w:tbl>
    <w:p/>
    <w:p>
      <w:r>
        <w:rPr>
          <w:b/>
        </w:rPr>
        <w:t>Do not ask on this call:</w:t>
      </w:r>
      <w:r>
        <w:t xml:space="preserve"> API scopes, auth methods, field mappings, custom fields, pipeline inventories, currencies, org hierarchies — those are auto-discovered after connect.</w:t>
      </w:r>
    </w:p>
    <w:p>
      <w:r>
        <w:rPr>
          <w:b/>
        </w:rPr>
        <w:t>Capture style:</w:t>
      </w:r>
      <w:r>
        <w:t xml:space="preserve"> Decision + owner (who confirmed) + date. Prefer “accept SMPL default” over inventing policy on the fly.</w:t>
      </w:r>
    </w:p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 xml:space="preserve">1. Company overview </w:t>
      </w:r>
      <w:r>
        <w:rPr>
          <w:i/>
        </w:rPr>
        <w:t>(CEP)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Question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Notes / answer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1.1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Company name (legal or preferred operating)?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1.2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Industry?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Tunes benchmark / definition defaults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1.3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Business model?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SaaS subscription / usage-based / hybrid / services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1.4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Headquarters?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1.5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Operating countries / entities?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1.6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Primary reporting currency?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Consolidated FI reporting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1.7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Approximate revenue range?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Order of magnitude only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1.8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Approximate employee count?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Order of magnitude only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1.9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Fiscal year end?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Anchors all period reporting</w:t>
            </w:r>
          </w:p>
        </w:tc>
      </w:tr>
    </w:tbl>
    <w:p/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 xml:space="preserve">2. Connected systems </w:t>
      </w:r>
      <w:r>
        <w:rPr>
          <w:i/>
        </w:rPr>
        <w:t>(CEP)</w:t>
      </w:r>
    </w:p>
    <w:p>
      <w:r>
        <w:t>For each relevant system (ERP, CRM, Billing, HRIS, Payroll, Planning, Data Warehouse, BI, other):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Question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Notes / answer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2.1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Vendor?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SYSTEM-VERIFIED after connect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2.2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Current version (if known)?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Leave blank if unknown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2.3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Primary business owner?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Accountable person, not tech admin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2.4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Implementation contact?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Access provisioning / connector setup</w:t>
            </w:r>
          </w:p>
        </w:tc>
      </w:tr>
    </w:tbl>
    <w:p/>
    <w:p>
      <w:r>
        <w:t>Skip technical connector detail here.</w:t>
      </w:r>
    </w:p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 xml:space="preserve">3. Business definitions </w:t>
      </w:r>
      <w:r>
        <w:rPr>
          <w:i/>
        </w:rPr>
        <w:t>(CEP)</w:t>
      </w:r>
    </w:p>
    <w:p>
      <w:r>
        <w:t xml:space="preserve">Customer-specific definition </w:t>
      </w:r>
      <w:r>
        <w:rPr>
          <w:b/>
        </w:rPr>
        <w:t>or</w:t>
      </w:r>
      <w:r>
        <w:t xml:space="preserve"> accept SMPL standard default: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Metric / concept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Decision (custom / SMPL default)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3.1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Active Customer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3.2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ARR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3.3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MRR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3.4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Churn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3.5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Expansion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3.6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Contraction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3.7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Renewal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3.8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Bookings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3.9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Qualified Pipeline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3.10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Active Employee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3.11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3.12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FTE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</w:tbl>
    <w:p/>
    <w:p>
      <w:r>
        <w:t>*</w:t>
      </w:r>
      <w:r>
        <w:rPr>
          <w:i/>
        </w:rPr>
        <w:t xml:space="preserve">Also ask </w:t>
      </w:r>
      <w:r>
        <w:t>(CEP + FIE intent):*** Do you report more than one ARR to different audiences (e.g. Board / Investor / Operational / Sales)? If yes, which is canonical for SMPL Day 1?</w:t>
      </w:r>
    </w:p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 xml:space="preserve">4. ARR / subscription policy decisions — hard gates </w:t>
      </w:r>
      <w:r>
        <w:rPr>
          <w:i/>
        </w:rPr>
        <w:t>(Gate)</w:t>
      </w:r>
    </w:p>
    <w:p>
      <w:r>
        <w:t xml:space="preserve">These come from the </w:t>
      </w:r>
      <w:r>
        <w:rPr>
          <w:b/>
        </w:rPr>
        <w:t>Subscription Normalization Gate</w:t>
      </w:r>
      <w:r>
        <w:t xml:space="preserve"> (GPES Stripe reference + Billing CKR). ARR Movement is blocked until resolved. Defaults below are SMPL defaults — confirm explicitly; trial treatment is the most common ARR disagreement.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448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Gate question</w:t>
            </w:r>
          </w:p>
        </w:tc>
        <w:tc>
          <w:tcPr>
            <w:tcW w:type="dxa" w:w="2448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SMPL default</w:t>
            </w:r>
          </w:p>
        </w:tc>
        <w:tc>
          <w:tcPr>
            <w:tcW w:type="dxa" w:w="2448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Customer answer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4.1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Include </w:t>
            </w:r>
            <w:r>
              <w:rPr>
                <w:rFonts w:ascii="Calibri" w:hAnsi="Calibri"/>
                <w:b/>
                <w:sz w:val="18"/>
              </w:rPr>
              <w:t>trialing</w:t>
            </w:r>
            <w:r>
              <w:rPr>
                <w:rFonts w:ascii="Calibri" w:hAnsi="Calibri"/>
                <w:sz w:val="18"/>
              </w:rPr>
              <w:t xml:space="preserve"> subscriptions in ARR?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Exclude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4.2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Include </w:t>
            </w:r>
            <w:r>
              <w:rPr>
                <w:rFonts w:ascii="Calibri" w:hAnsi="Calibri"/>
                <w:b/>
                <w:sz w:val="18"/>
              </w:rPr>
              <w:t>past_due / unpaid</w:t>
            </w:r>
            <w:r>
              <w:rPr>
                <w:rFonts w:ascii="Calibri" w:hAnsi="Calibri"/>
                <w:sz w:val="18"/>
              </w:rPr>
              <w:t xml:space="preserve"> subscriptions in ARR?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Exclude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4.3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Usage-based ARR policy</w:t>
            </w:r>
            <w:r>
              <w:rPr>
                <w:rFonts w:ascii="Calibri" w:hAnsi="Calibri"/>
                <w:sz w:val="18"/>
              </w:rPr>
              <w:t xml:space="preserve"> (only if metered pricing exists): are committed minimums in ARR? Uncommitted overages?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N/A if no metered pricing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4.4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If usage exists: pricing method?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per-unit / tiered / volume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</w:tbl>
    <w:p/>
    <w:p>
      <w:r>
        <w:t>*</w:t>
      </w:r>
      <w:r>
        <w:rPr>
          <w:i/>
        </w:rPr>
        <w:t xml:space="preserve">Related billing decisions </w:t>
      </w:r>
      <w:r>
        <w:t>(Gate / Billing CKR Implementation Decision Flow):***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Question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Answer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4.5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Is Billing the authoritative source for subscriptions, or is there a separate CPQ / contract system?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4.6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Multiple subscription items / add-ons — how should they aggregate into ARR?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4.7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Multiple billing accounts / sites (regional / product) — consolidation strategy?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4.8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Non-card methods (ACH / invoice) present? Settlement lag / banking pairing needed?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4.9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Live-only data confirmed (exclude test / sandbox)?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Enforced automatically for Stripe (</w:t>
            </w:r>
            <w:r>
              <w:rPr>
                <w:rFonts w:ascii="Calibri" w:hAnsi="Calibri"/>
                <w:sz w:val="18"/>
              </w:rPr>
              <w:t>livemode</w:t>
            </w:r>
            <w:r>
              <w:rPr>
                <w:rFonts w:ascii="Calibri" w:hAnsi="Calibri"/>
                <w:sz w:val="18"/>
              </w:rPr>
              <w:t>); still confirm expectation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4.10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Reactivation vs New Business dormancy window?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SCBM default </w:t>
            </w:r>
            <w:r>
              <w:rPr>
                <w:rFonts w:ascii="Calibri" w:hAnsi="Calibri"/>
                <w:b/>
                <w:sz w:val="18"/>
              </w:rPr>
              <w:t>90 days</w:t>
            </w:r>
            <w:r>
              <w:rPr>
                <w:rFonts w:ascii="Calibri" w:hAnsi="Calibri"/>
                <w:sz w:val="18"/>
              </w:rPr>
              <w:t xml:space="preserve"> unless overridden</w:t>
            </w:r>
          </w:p>
        </w:tc>
      </w:tr>
    </w:tbl>
    <w:p/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 xml:space="preserve">5. Business policies </w:t>
      </w:r>
      <w:r>
        <w:rPr>
          <w:i/>
        </w:rPr>
        <w:t>(CEP)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Policy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Decision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5.1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Revenue recognition approach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5.2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ARR methodology</w:t>
            </w:r>
            <w:r>
              <w:rPr>
                <w:rFonts w:ascii="Calibri" w:hAnsi="Calibri"/>
                <w:sz w:val="18"/>
              </w:rPr>
              <w:t xml:space="preserve"> (how annual recurring revenue is calculated)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5.3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Usage-based billing — exists? how treated in reporting?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Aligns with gate 4.3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5.4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Trial handling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Aligns with gate 4.1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5.5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Renewal treatment (vs new bookings)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5.6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Cancellation policy (impact on churn / ARR)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5.7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Contractor policy (included in headcount metrics?)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5.8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Department ownership rules (cost / spend attribution)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5.9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Cost center ownership rules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5.10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Multi-entity reporting rollup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3"/>
      </w:pPr>
      <w:r>
        <w:t xml:space="preserve">System of authority </w:t>
      </w:r>
      <w:r>
        <w:rPr>
          <w:i/>
        </w:rPr>
        <w:t>(CEP)</w:t>
      </w:r>
    </w:p>
    <w:p>
      <w:r>
        <w:t>Which connected system is authoritative for each:</w:t>
      </w:r>
    </w:p>
    <w:p>
      <w:r>
        <w:t>Customer · Product · Employee · Department · Cost Center · Opportunity · Subscription · Invoice · Revenue · Headcount · Compensation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4896"/>
        <w:gridCol w:w="4896"/>
      </w:tblGrid>
      <w:tr>
        <w:tc>
          <w:tcPr>
            <w:tcW w:type="dxa" w:w="4896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Concept</w:t>
            </w:r>
          </w:p>
        </w:tc>
        <w:tc>
          <w:tcPr>
            <w:tcW w:type="dxa" w:w="4896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System of record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 xml:space="preserve">6. Forecasting methodology </w:t>
      </w:r>
      <w:r>
        <w:rPr>
          <w:i/>
        </w:rPr>
        <w:t>(Recommended — not formal CEP)</w:t>
      </w:r>
    </w:p>
    <w:p>
      <w:pPr>
        <w:ind w:left="360"/>
        <w:pBdr>
          <w:left w:val="single" w:sz="18" w:space="8" w:color="94A3B8"/>
        </w:pBdr>
      </w:pPr>
      <w:r>
        <w:rPr>
          <w:b/>
          <w:i/>
        </w:rPr>
        <w:t>Recommended addition.</w:t>
      </w:r>
      <w:r>
        <w:rPr>
          <w:i/>
        </w:rPr>
        <w:t xml:space="preserve"> CEP lists Cash Forecasting / Scenario Planning as desired modules only. There is no dedicated forecast-driver interview in CEP v1.0. Questions below are reconstructed from </w:t>
      </w:r>
      <w:r>
        <w:rPr>
          <w:rFonts w:ascii="Consolas" w:hAnsi="Consolas"/>
          <w:i/>
          <w:sz w:val="18"/>
        </w:rPr>
        <w:t>docs/Forecasting_Assumptions.md</w:t>
      </w:r>
      <w:r>
        <w:rPr>
          <w:i/>
        </w:rPr>
        <w:t xml:space="preserve"> and related methodology docs for call use — do not present them as frozen CEP fields.</w:t>
      </w:r>
    </w:p>
    <w:p>
      <w:pPr>
        <w:pStyle w:val="Heading3"/>
      </w:pPr>
      <w:r>
        <w:t>How they forecast today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Question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Answer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6.1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Who owns Forecast vs Budget vs Actual?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6.2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Combined cutover date (when Actual ends and Forecast begins)?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6.3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Method today: driver-based, spreadsheet judgment, CRM pipeline-weighted, or mix?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6.4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Which scenarios do you need (Forecast / Budget / Upside / Downside)?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6.5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How often do you refresh? What happens after close (Actual ending → next Forecast beginning)?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pStyle w:val="Heading3"/>
      </w:pPr>
      <w:r>
        <w:t>Drivers to confirm (map to platform assumptions)</w:t>
      </w:r>
    </w:p>
    <w:p>
      <w:r>
        <w:t>Ask which they trust and can supply; skip what is irrelevant: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4896"/>
        <w:gridCol w:w="4896"/>
      </w:tblGrid>
      <w:tr>
        <w:tc>
          <w:tcPr>
            <w:tcW w:type="dxa" w:w="4896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Area</w:t>
            </w:r>
          </w:p>
        </w:tc>
        <w:tc>
          <w:tcPr>
            <w:tcW w:type="dxa" w:w="4896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Drivers to confirm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Revenue / subscriptions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New logo ARR growth; expansion rate; gross churn; NRR target; typical contract term (12/24/36); revenue ramp months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Pipeline / bookings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Win rates by stage; ASP by segment; sales cycle; quota attainment; pipeline coverage; closed-won ↔ new ARR tie-out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Billings / rev rec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Billings growth; recognition pattern; professional services %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Cash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DSO / DPO; collection lag; minimum cash balance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Headcount / opex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Hiring plan by dept; attrition; fully loaded cost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Marketing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Funnel rates (MQL→SQL→Opp); CAC payback if used</w:t>
            </w:r>
          </w:p>
        </w:tc>
      </w:tr>
    </w:tbl>
    <w:p/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 xml:space="preserve">7. Close / GL / data readiness </w:t>
      </w:r>
      <w:r>
        <w:rPr>
          <w:i/>
        </w:rPr>
        <w:t>(Recommended — not formal CEP)</w:t>
      </w:r>
    </w:p>
    <w:p>
      <w:pPr>
        <w:ind w:left="360"/>
        <w:pBdr>
          <w:left w:val="single" w:sz="18" w:space="8" w:color="94A3B8"/>
        </w:pBdr>
      </w:pPr>
      <w:r>
        <w:rPr>
          <w:b/>
          <w:i/>
        </w:rPr>
        <w:t>Recommended addition.</w:t>
      </w:r>
      <w:r>
        <w:rPr>
          <w:i/>
        </w:rPr>
        <w:t xml:space="preserve"> Reconstructed from close / GL / reporting methodology docs. Useful for implementation blockers; not listed as CEP fields in v1.0.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Question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Answer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7.1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Close calendar / SLA (e.g. business-day close)?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7.2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First period of GL history available? Opening trial balance + ending retained earnings at cutoff?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7.3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Chart of accounts → management reporting lines / EBITDA mapping?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7.4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Multi-entity structure? Dept vs cost center mapping ready?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7.5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Validation sources for ending ARR, revenue, headcount (what do you tie to today)?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7.6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Who certifies Actual each month (Accounting / FP&amp;A / RevOps)?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 xml:space="preserve">8. Desired modules </w:t>
      </w:r>
      <w:r>
        <w:rPr>
          <w:i/>
        </w:rPr>
        <w:t>(CEP)</w:t>
      </w:r>
    </w:p>
    <w:p>
      <w:r>
        <w:t>Select for implementation roadmap: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4896"/>
        <w:gridCol w:w="4896"/>
      </w:tblGrid>
      <w:tr>
        <w:tc>
          <w:tcPr>
            <w:tcW w:type="dxa" w:w="4896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Module</w:t>
            </w:r>
          </w:p>
        </w:tc>
        <w:tc>
          <w:tcPr>
            <w:tcW w:type="dxa" w:w="4896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Include? (Y/N / Phase 2)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Financial Reporting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Board Reporting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Executive Dashboards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Cash Forecasting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ARR Reporting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MRR Reporting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Pipeline Analytics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Workforce Planning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Scenario Planning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Executive Commentary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</w:tbl>
    <w:p/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 xml:space="preserve">9. Optional — CRM stages / headcount </w:t>
      </w:r>
      <w:r>
        <w:rPr>
          <w:i/>
        </w:rPr>
        <w:t>(Gate examples from GPES)</w:t>
      </w:r>
    </w:p>
    <w:p>
      <w:r>
        <w:t>Ask only if CRM or HRIS is in scope and ambiguity appears after (or before) connect.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Question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Answer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9.1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For any ambiguous CRM stage: does it mean Proposal vs Negotiate (or equivalent)?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Example: HubSpot “Contract Sent”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9.2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Which employment statuses count as active headcount — Active only, or Active + Leave of Absence?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9.3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Should contractors be included in headcount?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9.4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Allocate employee costs to GL cost centers for Department Expense Forecasting?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Can defer to Phase 2</w:t>
            </w:r>
          </w:p>
        </w:tc>
      </w:tr>
    </w:tbl>
    <w:p/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>Call-time shortlist (~15 min)</w:t>
      </w:r>
    </w:p>
    <w:p>
      <w:r>
        <w:rPr>
          <w:b/>
        </w:rPr>
        <w:t>Must cover (CEP + gates):</w:t>
      </w:r>
      <w:r>
        <w:t xml:space="preserve"> Company snapshot → systems &amp; owners → ARR/MRR/churn definitions → trials / past_due / usage min-vs-overage → ARR methodology → rev-rec &amp; renewal/cancel → systems of record → modules → FYE/currency/entities.</w:t>
      </w:r>
    </w:p>
    <w:p>
      <w:r>
        <w:rPr>
          <w:b/>
        </w:rPr>
        <w:t>Should cover if time:</w:t>
      </w:r>
      <w:r>
        <w:t xml:space="preserve"> Pipeline stage meanings · headcount/contractor · multi-account billing · live-only data.</w:t>
      </w:r>
    </w:p>
    <w:p>
      <w:r>
        <w:rPr>
          <w:b/>
        </w:rPr>
        <w:t>Recommended extras (label clearly):</w:t>
      </w:r>
      <w:r>
        <w:t xml:space="preserve"> How Forecast is built today · trusted drivers · multiple ARR intents · close calendar + GL cutoff artifacts.</w:t>
      </w:r>
    </w:p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>Source map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Content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Source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Sections 1–3, 5, 8, SoA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backend/tmp/impl-docs/CEP_v1.0.txt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Formal CEP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Section 4 ARR gates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backend/tmp/impl-docs/phase3/SMPL_GPES_001_SaaS_Golden_Path_v1.1.txt</w:t>
            </w:r>
            <w:r>
              <w:rPr>
                <w:rFonts w:ascii="Calibri" w:hAnsi="Calibri"/>
                <w:sz w:val="18"/>
              </w:rPr>
              <w:t xml:space="preserve"> + </w:t>
            </w:r>
            <w:r>
              <w:rPr>
                <w:rFonts w:ascii="Calibri" w:hAnsi="Calibri"/>
                <w:sz w:val="18"/>
              </w:rPr>
              <w:t>backend/tmp/impl-docs/SMPL_CKR_Billing_Registry_v0.2.txt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Formal gate / CKR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Section 6 Forecasting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docs/Forecasting_Assumptions.md</w:t>
            </w:r>
            <w:r>
              <w:rPr>
                <w:rFonts w:ascii="Calibri" w:hAnsi="Calibri"/>
                <w:sz w:val="18"/>
              </w:rPr>
              <w:t xml:space="preserve"> (+ reporting methodology)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Recommended — not CEP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Section 7 Close / GL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docs/Close_Process.md</w:t>
            </w:r>
            <w:r>
              <w:rPr>
                <w:rFonts w:ascii="Calibri" w:hAnsi="Calibri"/>
                <w:sz w:val="18"/>
              </w:rPr>
              <w:t>, close/GL readiness materials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Recommended — not CEP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Section 9 CRM / HC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GPES HubSpot + Rippling gate examples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Documented examples</w:t>
            </w:r>
          </w:p>
        </w:tc>
      </w:tr>
    </w:tbl>
    <w:p/>
    <w:p>
      <w:pPr>
        <w:spacing w:before="80" w:after="80"/>
        <w:pBdr>
          <w:bottom w:val="single" w:sz="6" w:space="1" w:color="C5CCD6"/>
        </w:pBdr>
      </w:pPr>
    </w:p>
    <w:p>
      <w:r>
        <w:rPr>
          <w:i/>
        </w:rPr>
        <w:t>Internal working sheet for customer discovery. CEP remains the evolving implementation record after systems connect.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