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Onboarding — Discovery Call Sheet</w:t>
      </w:r>
    </w:p>
    <w:p>
      <w:r>
        <w:rPr>
          <w:b/>
        </w:rPr>
        <w:t>SAMPLE — illustrative only; not a real customer.</w:t>
      </w:r>
      <w:r>
        <w:t xml:space="preserve"> </w:t>
      </w:r>
      <w:r>
        <w:rPr>
          <w:b/>
        </w:rPr>
        <w:t>Persona:</w:t>
      </w:r>
      <w:r>
        <w:t xml:space="preserve"> Northwind Platforms (complex / multi-nuance SaaS) </w:t>
      </w:r>
      <w:r>
        <w:rPr>
          <w:b/>
        </w:rPr>
        <w:t>Filled for:</w:t>
      </w:r>
      <w:r>
        <w:t xml:space="preserve"> showing customers what complete answers look like when policy edges matter </w:t>
      </w:r>
      <w:r>
        <w:rPr>
          <w:b/>
        </w:rPr>
        <w:t>Audience:</w:t>
      </w:r>
      <w:r>
        <w:t xml:space="preserve"> Implementation / CS (customer-facing) </w:t>
      </w:r>
      <w:r>
        <w:rPr>
          <w:b/>
        </w:rPr>
        <w:t>Use:</w:t>
      </w:r>
      <w:r>
        <w:t xml:space="preserve"> First discovery call attachment or Notion paste </w:t>
      </w:r>
      <w:r>
        <w:rPr>
          <w:b/>
        </w:rPr>
        <w:t>Principle:</w:t>
      </w:r>
      <w:r>
        <w:t xml:space="preserve"> Under ~15 minutes on first pass — ask only what systems cannot discover. </w:t>
      </w:r>
      <w:r>
        <w:rPr>
          <w:b/>
        </w:rPr>
        <w:t>Source of truth for formal fields:</w:t>
      </w:r>
      <w:r>
        <w:t xml:space="preserve"> Customer Environment Profile (CEP / ABS-009) v1.0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>How to use this sheet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CEP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Documented Customer Environment Profile field — safe to treat as formal onboarding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Gate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Concrete ARR / subscription decision from GPES + Billing CKR — blocks ARR until answered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Recommended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Reconstructed from product methodology docs — </w:t>
            </w:r>
            <w:r>
              <w:rPr>
                <w:rFonts w:ascii="Calibri" w:hAnsi="Calibri"/>
                <w:b/>
                <w:sz w:val="18"/>
              </w:rPr>
              <w:t>not yet a formal CEP field</w:t>
            </w:r>
            <w:r>
              <w:rPr>
                <w:rFonts w:ascii="Calibri" w:hAnsi="Calibri"/>
                <w:sz w:val="18"/>
              </w:rPr>
              <w:t>; do not over-claim</w:t>
            </w:r>
          </w:p>
        </w:tc>
      </w:tr>
    </w:tbl>
    <w:p/>
    <w:p>
      <w:r>
        <w:rPr>
          <w:b/>
        </w:rPr>
        <w:t>Do not ask on this call:</w:t>
      </w:r>
      <w:r>
        <w:t xml:space="preserve"> API scopes, auth methods, field mappings, custom fields, pipeline inventories, currencies, org hierarchies — those are auto-discovered after connect.</w:t>
      </w:r>
    </w:p>
    <w:p>
      <w:r>
        <w:rPr>
          <w:b/>
        </w:rPr>
        <w:t>Capture style:</w:t>
      </w:r>
      <w:r>
        <w:t xml:space="preserve"> Decision + owner (who confirmed) + date. Prefer “accept SMPL default” over inventing policy on the fly.</w:t>
      </w:r>
    </w:p>
    <w:p>
      <w:r>
        <w:rPr>
          <w:b/>
        </w:rPr>
        <w:t>Sample capture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Call date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2026-03-18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Confirmed by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Sam Okonkwo (CFO)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Also present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Riley Cho (FP&amp;A), Casey Nguyen (RevOps), Pat Morales (Corp Controller), Drew Kim (Billing Ops)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Day-1 ARR intent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Board / Investor ARR is canonical</w:t>
            </w:r>
            <w:r>
              <w:rPr>
                <w:rFonts w:ascii="Calibri" w:hAnsi="Calibri"/>
                <w:sz w:val="18"/>
              </w:rPr>
              <w:t xml:space="preserve"> (excludes uncommitted usage; see §3 &amp; §4)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1. Company overview </w:t>
      </w:r>
      <w:r>
        <w:rPr>
          <w:i/>
        </w:rPr>
        <w:t>(CEP)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Notes / 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Company name (legal or preferred operating)?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Northwind Platforms Holdings, Inc.</w:t>
            </w:r>
            <w:r>
              <w:rPr>
                <w:rFonts w:ascii="Calibri" w:hAnsi="Calibri"/>
                <w:sz w:val="18"/>
              </w:rPr>
              <w:t xml:space="preserve"> (operating: Northwind Platforms)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Industry?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B2B SaaS — developer platform / API infrastructure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Business model?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Hybrid:</w:t>
            </w:r>
            <w:r>
              <w:rPr>
                <w:rFonts w:ascii="Calibri" w:hAnsi="Calibri"/>
                <w:sz w:val="18"/>
              </w:rPr>
              <w:t xml:space="preserve"> committed SaaS platform fees + </w:t>
            </w:r>
            <w:r>
              <w:rPr>
                <w:rFonts w:ascii="Calibri" w:hAnsi="Calibri"/>
                <w:b/>
                <w:sz w:val="18"/>
              </w:rPr>
              <w:t>usage-based</w:t>
            </w:r>
            <w:r>
              <w:rPr>
                <w:rFonts w:ascii="Calibri" w:hAnsi="Calibri"/>
                <w:sz w:val="18"/>
              </w:rPr>
              <w:t xml:space="preserve"> API overages + professional services (~12–15% of revenue for implementations). ARR policy must separate committed vs usage (see gates).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Headquarters?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Chicago, IL, USA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Operating countries / entities?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Three entities:</w:t>
            </w:r>
            <w:r>
              <w:rPr>
                <w:rFonts w:ascii="Calibri" w:hAnsi="Calibri"/>
                <w:sz w:val="18"/>
              </w:rPr>
              <w:t xml:space="preserve"> (1) Northwind Platforms Holdings, Inc. (US parent), (2) Northwind Platforms UK Ltd, (3) Northwind Platforms GmbH (Germany). Selling in US, UK, EU, ANZ. Intercompany licensing + local billing entities.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Primary reporting currency?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USD consolidated</w:t>
            </w:r>
            <w:r>
              <w:rPr>
                <w:rFonts w:ascii="Calibri" w:hAnsi="Calibri"/>
                <w:sz w:val="18"/>
              </w:rPr>
              <w:t xml:space="preserve"> for board / investor FI. Local books in USD, GBP, EUR. FX translation for consolidation (month-end rate for P&amp;L; they already do this in NetSuite).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Approximate revenue range?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~$55–65M ARR (Board definition); total revenue higher with usage + PS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Approximate employee count?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~280 W-2 + ~45 long-term contractors (eng / CS surge)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Fiscal year end?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January 31</w:t>
            </w:r>
            <w:r>
              <w:rPr>
                <w:rFonts w:ascii="Calibri" w:hAnsi="Calibri"/>
                <w:sz w:val="18"/>
              </w:rPr>
              <w:t xml:space="preserve"> (FY ends Jan 31; e.g. FY26 = Feb 1 2025 – Jan 31 2026)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2. Connected systems </w:t>
      </w:r>
      <w:r>
        <w:rPr>
          <w:i/>
        </w:rPr>
        <w:t>(CEP)</w:t>
      </w:r>
    </w:p>
    <w:p>
      <w:r>
        <w:t>For each relevant system (ERP, CRM, Billing, HRIS, Payroll, Planning, Data Warehouse, BI, other):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System type</w:t>
            </w:r>
          </w:p>
        </w:tc>
        <w:tc>
          <w:tcPr>
            <w:tcW w:type="dxa" w:w="195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2.1 Vendor</w:t>
            </w:r>
          </w:p>
        </w:tc>
        <w:tc>
          <w:tcPr>
            <w:tcW w:type="dxa" w:w="195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2.2 Version (if known)</w:t>
            </w:r>
          </w:p>
        </w:tc>
        <w:tc>
          <w:tcPr>
            <w:tcW w:type="dxa" w:w="195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2.3 Primary business owner</w:t>
            </w:r>
          </w:p>
        </w:tc>
        <w:tc>
          <w:tcPr>
            <w:tcW w:type="dxa" w:w="195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2.4 Implementation contact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Billing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Stripe</w:t>
            </w:r>
            <w:r>
              <w:rPr>
                <w:rFonts w:ascii="Calibri" w:hAnsi="Calibri"/>
                <w:sz w:val="18"/>
              </w:rPr>
              <w:t xml:space="preserve"> (US + EU accounts) + legacy </w:t>
            </w:r>
            <w:r>
              <w:rPr>
                <w:rFonts w:ascii="Calibri" w:hAnsi="Calibri"/>
                <w:b/>
                <w:sz w:val="18"/>
              </w:rPr>
              <w:t>Zuora</w:t>
            </w:r>
            <w:r>
              <w:rPr>
                <w:rFonts w:ascii="Calibri" w:hAnsi="Calibri"/>
                <w:sz w:val="18"/>
              </w:rPr>
              <w:t xml:space="preserve"> for ~8% of UK enterprise (sunset 2026 H2)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Stripe current; Zuora Central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Drew Kim (Billing Ops)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Drew Kim + Stripe TAM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CRM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Salesforce</w:t>
            </w:r>
            <w:r>
              <w:rPr>
                <w:rFonts w:ascii="Calibri" w:hAnsi="Calibri"/>
                <w:sz w:val="18"/>
              </w:rPr>
              <w:t xml:space="preserve"> Sales Cloud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Enterprise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Casey Nguyen (RevOps)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Casey Nguyen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CPQ / Contracts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Salesforce CPQ + Ironclad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Current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Casey Nguyen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Legal Ops (Mei Tran)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ERP / GL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NetSuite</w:t>
            </w:r>
            <w:r>
              <w:rPr>
                <w:rFonts w:ascii="Calibri" w:hAnsi="Calibri"/>
                <w:sz w:val="18"/>
              </w:rPr>
              <w:t xml:space="preserve"> OneWorld (US / UK / DE subsidiaries)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2024.2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Pat Morales (Corp Controller)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Finance Systems (Noah Berg)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HRIS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Workday</w:t>
            </w:r>
            <w:r>
              <w:rPr>
                <w:rFonts w:ascii="Calibri" w:hAnsi="Calibri"/>
                <w:sz w:val="18"/>
              </w:rPr>
              <w:t xml:space="preserve"> HCM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Current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Avery Brooks (People)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Avery Brooks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Payroll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Workday Payroll (US); remote.com (UK/EU contractors &amp; some EOR)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Avery Brooks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Avery Brooks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Planning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Anaplan (annual) + FP&amp;A Sheets bridge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Riley Cho (FP&amp;A)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Riley Cho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Data Warehouse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Snowflake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Data Eng (Chris Park)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Chris Park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Tableau + board pack in Sheets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Riley Cho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r>
        <w:t xml:space="preserve">Skip technical connector detail here. </w:t>
      </w:r>
      <w:r>
        <w:rPr>
          <w:b/>
        </w:rPr>
        <w:t>Note for impl:</w:t>
      </w:r>
      <w:r>
        <w:t xml:space="preserve"> Day 1 billing authority = Stripe live accounts; Zuora ARR as Phase 1.5 overlay or manual bridge until sunset.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3. Business definitions </w:t>
      </w:r>
      <w:r>
        <w:rPr>
          <w:i/>
        </w:rPr>
        <w:t>(CEP)</w:t>
      </w:r>
    </w:p>
    <w:p>
      <w:r>
        <w:t xml:space="preserve">Customer-specific definition </w:t>
      </w:r>
      <w:r>
        <w:rPr>
          <w:b/>
        </w:rPr>
        <w:t>or</w:t>
      </w:r>
      <w:r>
        <w:t xml:space="preserve"> accept SMPL standard default: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Metric / concept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Decision (custom / SMPL default)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Active Customer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Paying </w:t>
            </w:r>
            <w:r>
              <w:rPr>
                <w:rFonts w:ascii="Calibri" w:hAnsi="Calibri"/>
                <w:b/>
                <w:sz w:val="18"/>
              </w:rPr>
              <w:t>billing account</w:t>
            </w:r>
            <w:r>
              <w:rPr>
                <w:rFonts w:ascii="Calibri" w:hAnsi="Calibri"/>
                <w:sz w:val="18"/>
              </w:rPr>
              <w:t xml:space="preserve"> with committed platform subscription in good standing. Ultimate parent hierarchy used for logo metrics (Salesforce Account hierarchy); ARR rolls at billing-account grain then rolls to parent for logo NRR.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Custom — dual intent (see below).</w:t>
            </w:r>
            <w:r>
              <w:rPr>
                <w:rFonts w:ascii="Calibri" w:hAnsi="Calibri"/>
                <w:sz w:val="18"/>
              </w:rPr>
              <w:t xml:space="preserve"> Board ARR = annualized </w:t>
            </w:r>
            <w:r>
              <w:rPr>
                <w:rFonts w:ascii="Calibri" w:hAnsi="Calibri"/>
                <w:b/>
                <w:sz w:val="18"/>
              </w:rPr>
              <w:t>committed</w:t>
            </w:r>
            <w:r>
              <w:rPr>
                <w:rFonts w:ascii="Calibri" w:hAnsi="Calibri"/>
                <w:sz w:val="18"/>
              </w:rPr>
              <w:t xml:space="preserve"> recurring platform fees + </w:t>
            </w:r>
            <w:r>
              <w:rPr>
                <w:rFonts w:ascii="Calibri" w:hAnsi="Calibri"/>
                <w:b/>
                <w:sz w:val="18"/>
              </w:rPr>
              <w:t>committed usage minimums</w:t>
            </w:r>
            <w:r>
              <w:rPr>
                <w:rFonts w:ascii="Calibri" w:hAnsi="Calibri"/>
                <w:sz w:val="18"/>
              </w:rPr>
              <w:t xml:space="preserve">; exclude uncommitted overages, trials, and PS. Sales “ARR” in Salesforce often includes first-year overage estimates — </w:t>
            </w:r>
            <w:r>
              <w:rPr>
                <w:rFonts w:ascii="Calibri" w:hAnsi="Calibri"/>
                <w:b/>
                <w:sz w:val="18"/>
              </w:rPr>
              <w:t>not</w:t>
            </w:r>
            <w:r>
              <w:rPr>
                <w:rFonts w:ascii="Calibri" w:hAnsi="Calibri"/>
                <w:sz w:val="18"/>
              </w:rPr>
              <w:t xml:space="preserve"> Day-1 SMPL canonical.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MRR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Board ARR ÷ 12. Same inclusions as Board ARR.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Churn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Gross ARR churn = lost committed ARR from cancels / non-renewals. Logo churn at ultimate parent. Downgrade of committed min without full cancel = contraction, not churn.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Expansion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Increase in committed ARR (seats, platform tier, higher usage minimum). Uncommitted overage spikes are </w:t>
            </w:r>
            <w:r>
              <w:rPr>
                <w:rFonts w:ascii="Calibri" w:hAnsi="Calibri"/>
                <w:b/>
                <w:sz w:val="18"/>
              </w:rPr>
              <w:t>usage revenue</w:t>
            </w:r>
            <w:r>
              <w:rPr>
                <w:rFonts w:ascii="Calibri" w:hAnsi="Calibri"/>
                <w:sz w:val="18"/>
              </w:rPr>
              <w:t>, not expansion ARR.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Contraction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Decrease in committed ARR while customer remains active.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Renewal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CPQ renewal opportunity type; committed ARR continuing. Multi-year renewals booked at annualized committed ARR for Board.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Bookings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Salesforce Closed-Won </w:t>
            </w:r>
            <w:r>
              <w:rPr>
                <w:rFonts w:ascii="Calibri" w:hAnsi="Calibri"/>
                <w:b/>
                <w:sz w:val="18"/>
              </w:rPr>
              <w:t>ACV (Sales definition)</w:t>
            </w:r>
            <w:r>
              <w:rPr>
                <w:rFonts w:ascii="Calibri" w:hAnsi="Calibri"/>
                <w:sz w:val="18"/>
              </w:rPr>
              <w:t xml:space="preserve"> — may include estimated Year-1 usage; Finance reconciles Bookings → Board ARR with a known bridge.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Qualified Pipeline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Stages </w:t>
            </w:r>
            <w:r>
              <w:rPr>
                <w:rFonts w:ascii="Calibri" w:hAnsi="Calibri"/>
                <w:b/>
                <w:sz w:val="18"/>
              </w:rPr>
              <w:t>Proposal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b/>
                <w:sz w:val="18"/>
              </w:rPr>
              <w:t>Negotiation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b/>
                <w:sz w:val="18"/>
              </w:rPr>
              <w:t>Verbal Commit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b/>
                <w:sz w:val="18"/>
              </w:rPr>
              <w:t>Contracting</w:t>
            </w:r>
            <w:r>
              <w:rPr>
                <w:rFonts w:ascii="Calibri" w:hAnsi="Calibri"/>
                <w:sz w:val="18"/>
              </w:rPr>
              <w:t xml:space="preserve"> — but see §9 for stage ambiguity.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3.10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Active Employee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Workday: Active + Paid Leave (include LOA in HC for board HC trend). Unpaid leave excluded.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Workday contingent + remote.com; </w:t>
            </w:r>
            <w:r>
              <w:rPr>
                <w:rFonts w:ascii="Calibri" w:hAnsi="Calibri"/>
                <w:b/>
                <w:sz w:val="18"/>
              </w:rPr>
              <w:t>include in “Total Workforce”</w:t>
            </w:r>
            <w:r>
              <w:rPr>
                <w:rFonts w:ascii="Calibri" w:hAnsi="Calibri"/>
                <w:sz w:val="18"/>
              </w:rPr>
              <w:t xml:space="preserve"> but report </w:t>
            </w:r>
            <w:r>
              <w:rPr>
                <w:rFonts w:ascii="Calibri" w:hAnsi="Calibri"/>
                <w:b/>
                <w:sz w:val="18"/>
              </w:rPr>
              <w:t>Employees vs Contractors</w:t>
            </w:r>
            <w:r>
              <w:rPr>
                <w:rFonts w:ascii="Calibri" w:hAnsi="Calibri"/>
                <w:sz w:val="18"/>
              </w:rPr>
              <w:t xml:space="preserve"> as separate series. Board HC headline = Employees only unless labeled “workforce.”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FTE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Employees: FTE from Workday. Contractors: count as 1.0 headcount in contractor series, not in Employee FTE.</w:t>
            </w:r>
          </w:p>
        </w:tc>
      </w:tr>
    </w:tbl>
    <w:p/>
    <w:p>
      <w:r>
        <w:t>*</w:t>
      </w:r>
      <w:r>
        <w:rPr>
          <w:i/>
        </w:rPr>
        <w:t xml:space="preserve">Also ask </w:t>
      </w:r>
      <w:r>
        <w:t>(CEP + FIE intent):*** Do you report more than one ARR to different audiences (e.g. Board / Investor / Operational / Sales)? If yes, which is canonical for SMPL Day 1?</w:t>
      </w:r>
    </w:p>
    <w:p>
      <w:r>
        <w:rPr>
          <w:b/>
        </w:rPr>
        <w:t>Answer:</w:t>
      </w:r>
      <w:r>
        <w:t xml:space="preserve"> </w:t>
      </w:r>
      <w:r>
        <w:rPr>
          <w:b/>
        </w:rPr>
        <w:t>Yes — three intents exist today: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Intent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Definition (summary)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Day-1 SMPL?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Board / Investor ARR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Committed platform + committed usage minimums; exclude trials, past_due (per gate), uncommitted overages, PS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Canonical Day 1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Operational ARR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Board ARR + in-grace past_due (collections view) — finance ops only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Phase 2 if needed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Sales ARR / ACV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CPQ ACV including estimated usage Year 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Stay in Salesforce; bridge report only</w:t>
            </w:r>
          </w:p>
        </w:tc>
      </w:tr>
    </w:tbl>
    <w:p/>
    <w:p>
      <w:r>
        <w:t>Confirmed: Sam Okonkwo + Riley Cho, 2026-03-18.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4. ARR / subscription policy decisions — hard gates </w:t>
      </w:r>
      <w:r>
        <w:rPr>
          <w:i/>
        </w:rPr>
        <w:t>(Gate)</w:t>
      </w:r>
    </w:p>
    <w:p>
      <w:r>
        <w:t xml:space="preserve">These come from the </w:t>
      </w:r>
      <w:r>
        <w:rPr>
          <w:b/>
        </w:rPr>
        <w:t>Subscription Normalization Gate</w:t>
      </w:r>
      <w:r>
        <w:t xml:space="preserve"> (GPES Stripe reference + Billing CKR). ARR Movement is blocked until resolved. Defaults below are SMPL defaults — confirm explicitly; trial treatment is the most common ARR disagreement.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Gate question</w:t>
            </w:r>
          </w:p>
        </w:tc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SMPL default</w:t>
            </w:r>
          </w:p>
        </w:tc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Customer answer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4.1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Include </w:t>
            </w:r>
            <w:r>
              <w:rPr>
                <w:rFonts w:ascii="Calibri" w:hAnsi="Calibri"/>
                <w:b/>
                <w:sz w:val="18"/>
              </w:rPr>
              <w:t>trialing</w:t>
            </w:r>
            <w:r>
              <w:rPr>
                <w:rFonts w:ascii="Calibri" w:hAnsi="Calibri"/>
                <w:sz w:val="18"/>
              </w:rPr>
              <w:t xml:space="preserve"> subscriptions in ARR?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Exclude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Exclude from Board ARR</w:t>
            </w:r>
            <w:r>
              <w:rPr>
                <w:rFonts w:ascii="Calibri" w:hAnsi="Calibri"/>
                <w:sz w:val="18"/>
              </w:rPr>
              <w:t xml:space="preserve"> (accept SMPL). Exception: “design partner” trials that are invoiced at $0 but contractually committed — treat as </w:t>
            </w:r>
            <w:r>
              <w:rPr>
                <w:rFonts w:ascii="Calibri" w:hAnsi="Calibri"/>
                <w:b/>
                <w:sz w:val="18"/>
              </w:rPr>
              <w:t>$0 ARR until first paid period</w:t>
            </w:r>
            <w:r>
              <w:rPr>
                <w:rFonts w:ascii="Calibri" w:hAnsi="Calibri"/>
                <w:sz w:val="18"/>
              </w:rPr>
              <w:t xml:space="preserve"> (still exclude). Confirmed: Drew / Riley.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4.2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Include </w:t>
            </w:r>
            <w:r>
              <w:rPr>
                <w:rFonts w:ascii="Calibri" w:hAnsi="Calibri"/>
                <w:b/>
                <w:sz w:val="18"/>
              </w:rPr>
              <w:t>past_due / unpaid</w:t>
            </w:r>
            <w:r>
              <w:rPr>
                <w:rFonts w:ascii="Calibri" w:hAnsi="Calibri"/>
                <w:sz w:val="18"/>
              </w:rPr>
              <w:t xml:space="preserve"> subscriptions in ARR?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Exclude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Board ARR: Exclude</w:t>
            </w:r>
            <w:r>
              <w:rPr>
                <w:rFonts w:ascii="Calibri" w:hAnsi="Calibri"/>
                <w:sz w:val="18"/>
              </w:rPr>
              <w:t xml:space="preserve"> (SMPL default). Ops may keep a shadow “collections ARR” that includes past_due &lt;30 days — </w:t>
            </w:r>
            <w:r>
              <w:rPr>
                <w:rFonts w:ascii="Calibri" w:hAnsi="Calibri"/>
                <w:b/>
                <w:sz w:val="18"/>
              </w:rPr>
              <w:t>not</w:t>
            </w:r>
            <w:r>
              <w:rPr>
                <w:rFonts w:ascii="Calibri" w:hAnsi="Calibri"/>
                <w:sz w:val="18"/>
              </w:rPr>
              <w:t xml:space="preserve"> Day-1 canonical. After 30 days past_due, Sales must re-forecast churn risk. Confirmed: Sam / Pat.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4.3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Usage-based ARR policy</w:t>
            </w:r>
            <w:r>
              <w:rPr>
                <w:rFonts w:ascii="Calibri" w:hAnsi="Calibri"/>
                <w:sz w:val="18"/>
              </w:rPr>
              <w:t xml:space="preserve"> (only if metered pricing exists): are committed minimums in ARR? Uncommitted overages?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 if no metered pricing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Committed usage minimums = IN Board ARR.</w:t>
            </w:r>
            <w:r>
              <w:rPr>
                <w:rFonts w:ascii="Calibri" w:hAnsi="Calibri"/>
                <w:sz w:val="18"/>
              </w:rPr>
              <w:t xml:space="preserve"> Uncommitted overages = </w:t>
            </w:r>
            <w:r>
              <w:rPr>
                <w:rFonts w:ascii="Calibri" w:hAnsi="Calibri"/>
                <w:b/>
                <w:sz w:val="18"/>
              </w:rPr>
              <w:t>usage revenue / billings only</w:t>
            </w:r>
            <w:r>
              <w:rPr>
                <w:rFonts w:ascii="Calibri" w:hAnsi="Calibri"/>
                <w:sz w:val="18"/>
              </w:rPr>
              <w:t>, not ARR. True-up invoices that increase the contractual minimum prospectively = expansion when amendment effective.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4.4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If usage exists: pricing method?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per-unit / tiered / volume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Hybrid:</w:t>
            </w:r>
            <w:r>
              <w:rPr>
                <w:rFonts w:ascii="Calibri" w:hAnsi="Calibri"/>
                <w:sz w:val="18"/>
              </w:rPr>
              <w:t xml:space="preserve"> platform subscription (tiered seats) + metered API (</w:t>
            </w:r>
            <w:r>
              <w:rPr>
                <w:rFonts w:ascii="Calibri" w:hAnsi="Calibri"/>
                <w:b/>
                <w:sz w:val="18"/>
              </w:rPr>
              <w:t>tiered</w:t>
            </w:r>
            <w:r>
              <w:rPr>
                <w:rFonts w:ascii="Calibri" w:hAnsi="Calibri"/>
                <w:sz w:val="18"/>
              </w:rPr>
              <w:t xml:space="preserve"> per-unit with monthly committed minimum). Volume discounts on overage tiers only.</w:t>
            </w:r>
          </w:p>
        </w:tc>
      </w:tr>
    </w:tbl>
    <w:p/>
    <w:p>
      <w:r>
        <w:t>*</w:t>
      </w:r>
      <w:r>
        <w:rPr>
          <w:i/>
        </w:rPr>
        <w:t xml:space="preserve">Related billing decisions </w:t>
      </w:r>
      <w:r>
        <w:t>(Gate / Billing CKR Implementation Decision Flow):***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Is Billing the authoritative source for subscriptions, or is there a separate CPQ / contract system?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Split authority:</w:t>
            </w:r>
            <w:r>
              <w:rPr>
                <w:rFonts w:ascii="Calibri" w:hAnsi="Calibri"/>
                <w:sz w:val="18"/>
              </w:rPr>
              <w:t xml:space="preserve"> Salesforce CPQ / Ironclad = commercial truth for enterprise amendments; </w:t>
            </w:r>
            <w:r>
              <w:rPr>
                <w:rFonts w:ascii="Calibri" w:hAnsi="Calibri"/>
                <w:b/>
                <w:sz w:val="18"/>
              </w:rPr>
              <w:t>Stripe (and residual Zuora) = billing runtime.</w:t>
            </w:r>
            <w:r>
              <w:rPr>
                <w:rFonts w:ascii="Calibri" w:hAnsi="Calibri"/>
                <w:sz w:val="18"/>
              </w:rPr>
              <w:t xml:space="preserve"> Day-1 ARR from Stripe (+ Zuora bridge). Material CPQ vs Stripe mismatches escalate to Billing Ops weekly.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Multiple subscription items / add-ons — how should they aggregate into ARR?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Sum recurring committed items (platform + add-on modules + committed min line). Exclude metered overage line items, one-time PS, and setup fees. Multi-product customers: one ARR total; product split is analytical dimension Phase 2.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Multiple billing accounts / sites (regional / product) — consolidation strategy?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Two live Stripe accounts</w:t>
            </w:r>
            <w:r>
              <w:rPr>
                <w:rFonts w:ascii="Calibri" w:hAnsi="Calibri"/>
                <w:sz w:val="18"/>
              </w:rPr>
              <w:t xml:space="preserve"> (US platform, EU platform) + Zuora UK. Consolidate to USD Board ARR. Same ultimate parent across accounts = one logo; ARR sums across billing accounts.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Non-card methods (ACH / invoice) present? Settlement lag / banking pairing needed?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Heavy </w:t>
            </w:r>
            <w:r>
              <w:rPr>
                <w:rFonts w:ascii="Calibri" w:hAnsi="Calibri"/>
                <w:b/>
                <w:sz w:val="18"/>
              </w:rPr>
              <w:t>invoice / ACH / wire</w:t>
            </w:r>
            <w:r>
              <w:rPr>
                <w:rFonts w:ascii="Calibri" w:hAnsi="Calibri"/>
                <w:sz w:val="18"/>
              </w:rPr>
              <w:t xml:space="preserve"> for enterprise (~60%). Net-30/45 common. Cash forecast needs DSO by channel; banking pairing for large wires </w:t>
            </w:r>
            <w:r>
              <w:rPr>
                <w:rFonts w:ascii="Calibri" w:hAnsi="Calibri"/>
                <w:b/>
                <w:sz w:val="18"/>
              </w:rPr>
              <w:t>yes</w:t>
            </w:r>
            <w:r>
              <w:rPr>
                <w:rFonts w:ascii="Calibri" w:hAnsi="Calibri"/>
                <w:sz w:val="18"/>
              </w:rPr>
              <w:t xml:space="preserve"> (NetSuite cash + bank feeds) — flag for cash module.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Live-only data confirmed (exclude test / sandbox)?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Yes.</w:t>
            </w:r>
            <w:r>
              <w:rPr>
                <w:rFonts w:ascii="Calibri" w:hAnsi="Calibri"/>
                <w:sz w:val="18"/>
              </w:rPr>
              <w:t xml:space="preserve"> Both Stripe accounts livemode only. Zuora production tenant only. Sandbox / test customers tagged and excluded.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4.10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Reactivation vs New Business dormancy window?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Override SCBM default → 180 days</w:t>
            </w:r>
            <w:r>
              <w:rPr>
                <w:rFonts w:ascii="Calibri" w:hAnsi="Calibri"/>
                <w:sz w:val="18"/>
              </w:rPr>
              <w:t xml:space="preserve"> (enterprise sales cycles / seasonal API customers). Return within 180 days = reactivation; after = new logo. Confirmed: Casey / Riley.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5. Business policies </w:t>
      </w:r>
      <w:r>
        <w:rPr>
          <w:i/>
        </w:rPr>
        <w:t>(CEP)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Policy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Decision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Revenue recognition approach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ASC 606; SSP for platform vs usage vs PS. Usage recognized as consumed; platform ratable; PS % complete or milestone. NetSuite ARM for large deals; Stripe billing for SMB.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ARR methodology</w:t>
            </w:r>
            <w:r>
              <w:rPr>
                <w:rFonts w:ascii="Calibri" w:hAnsi="Calibri"/>
                <w:sz w:val="18"/>
              </w:rPr>
              <w:t xml:space="preserve"> (how annual recurring revenue is calculated)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Board: annualize committed recurring fees + committed usage minimums at subscription currency, translate to USD at month-end rate for consolidated ending ARR. Point-in-time month-end. Do </w:t>
            </w:r>
            <w:r>
              <w:rPr>
                <w:rFonts w:ascii="Calibri" w:hAnsi="Calibri"/>
                <w:b/>
                <w:sz w:val="18"/>
              </w:rPr>
              <w:t>not</w:t>
            </w:r>
            <w:r>
              <w:rPr>
                <w:rFonts w:ascii="Calibri" w:hAnsi="Calibri"/>
                <w:sz w:val="18"/>
              </w:rPr>
              <w:t xml:space="preserve"> annualize trailing overage.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Usage-based billing — exists? how treated in reporting?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Yes.</w:t>
            </w:r>
            <w:r>
              <w:rPr>
                <w:rFonts w:ascii="Calibri" w:hAnsi="Calibri"/>
                <w:sz w:val="18"/>
              </w:rPr>
              <w:t xml:space="preserve"> Committed min in ARR (4.3); overages in revenue/billings and cash, with a usage dashboard separate from ARR Movement.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Trial handling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30-day self-serve trials + sales-assisted POCs. </w:t>
            </w:r>
            <w:r>
              <w:rPr>
                <w:rFonts w:ascii="Calibri" w:hAnsi="Calibri"/>
                <w:b/>
                <w:sz w:val="18"/>
              </w:rPr>
              <w:t>Excluded from Board ARR</w:t>
            </w:r>
            <w:r>
              <w:rPr>
                <w:rFonts w:ascii="Calibri" w:hAnsi="Calibri"/>
                <w:sz w:val="18"/>
              </w:rPr>
              <w:t xml:space="preserve"> until paid conversion (4.1).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Renewal treatment (vs new bookings)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CPQ renewal opp type. Bookings ACV may include estimated usage; Board renewal ARR = committed only. Multi-year: ARR remains annualized committed, not TCV.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Cancellation policy (impact on churn / ARR)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Notice ≠ churn. ARR exits on </w:t>
            </w:r>
            <w:r>
              <w:rPr>
                <w:rFonts w:ascii="Calibri" w:hAnsi="Calibri"/>
                <w:b/>
                <w:sz w:val="18"/>
              </w:rPr>
              <w:t>contractual end / entitlement end</w:t>
            </w:r>
            <w:r>
              <w:rPr>
                <w:rFonts w:ascii="Calibri" w:hAnsi="Calibri"/>
                <w:sz w:val="18"/>
              </w:rPr>
              <w:t>. Enterprise early terminations with exit fees: exit fee ≠ ARR; remaining committed ARR drops on termination effective date.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Contractor policy (included in headcount metrics?)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Split reporting:</w:t>
            </w:r>
            <w:r>
              <w:rPr>
                <w:rFonts w:ascii="Calibri" w:hAnsi="Calibri"/>
                <w:sz w:val="18"/>
              </w:rPr>
              <w:t xml:space="preserve"> Employee HC (board default) vs Contractor HC vs Total Workforce. Contractors </w:t>
            </w:r>
            <w:r>
              <w:rPr>
                <w:rFonts w:ascii="Calibri" w:hAnsi="Calibri"/>
                <w:b/>
                <w:sz w:val="18"/>
              </w:rPr>
              <w:t>included</w:t>
            </w:r>
            <w:r>
              <w:rPr>
                <w:rFonts w:ascii="Calibri" w:hAnsi="Calibri"/>
                <w:sz w:val="18"/>
              </w:rPr>
              <w:t xml:space="preserve"> in workforce planning capacity views; </w:t>
            </w:r>
            <w:r>
              <w:rPr>
                <w:rFonts w:ascii="Calibri" w:hAnsi="Calibri"/>
                <w:b/>
                <w:sz w:val="18"/>
              </w:rPr>
              <w:t>excluded</w:t>
            </w:r>
            <w:r>
              <w:rPr>
                <w:rFonts w:ascii="Calibri" w:hAnsi="Calibri"/>
                <w:sz w:val="18"/>
              </w:rPr>
              <w:t xml:space="preserve"> from “Employees” KPI.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 ownership rules (cost / spend attribution)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Depts: Sales, Marketing, CS, Eng, Product, G&amp;A, COGS-Support. Matrix exists for shared platform eng — FP&amp;A allocation keys quarterly.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Cost center ownership rules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NetSuite Department + Class; Workday cost center must map 1:1 to NetSuite for dept expense forecast. Gaps known in EU — cleanup before Workforce module.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5.10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Multi-entity reporting rollup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Consolidate US + UK + DE to Holdings USD. Eliminations for intercompany license fees (Pat owns). Management view: consolidated + US-standalone for cash.</w:t>
            </w:r>
          </w:p>
        </w:tc>
      </w:tr>
    </w:tbl>
    <w:p/>
    <w:p>
      <w:pPr>
        <w:pStyle w:val="Heading3"/>
      </w:pPr>
      <w:r>
        <w:t xml:space="preserve">System of authority </w:t>
      </w:r>
      <w:r>
        <w:rPr>
          <w:i/>
        </w:rPr>
        <w:t>(CEP)</w:t>
      </w:r>
    </w:p>
    <w:p>
      <w:r>
        <w:t>Which connected system is authoritative for each: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Concept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System of record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Salesforce Account (hierarchy / logo); Stripe/Zuora Customer (billing)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Salesforce CPQ product catalog → Stripe Products (SKU sync owned by Billing Ops)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Workday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Workday supervisory org → NetSuite Department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Cost Center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NetSuite (Class / Dept); Workday cost center must match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Opportunity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Salesforce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Subscription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Stripe / Zuora</w:t>
            </w:r>
            <w:r>
              <w:rPr>
                <w:rFonts w:ascii="Calibri" w:hAnsi="Calibri"/>
                <w:sz w:val="18"/>
              </w:rPr>
              <w:t xml:space="preserve"> (billing); CPQ quote for commercial amendments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Invoice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Stripe / Zuora (customer invoice); NetSuite (accounting AR / revenue)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Revenue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NetSuite</w:t>
            </w:r>
            <w:r>
              <w:rPr>
                <w:rFonts w:ascii="Calibri" w:hAnsi="Calibri"/>
                <w:sz w:val="18"/>
              </w:rPr>
              <w:t xml:space="preserve"> (recognized revenue &amp; deferred)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Headcount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Workday (employees); remote.com + Workday contingent (contractors)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Compensation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Workday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6. Forecasting methodology </w:t>
      </w:r>
      <w:r>
        <w:rPr>
          <w:i/>
        </w:rPr>
        <w:t>(Recommended — not formal CEP)</w:t>
      </w:r>
    </w:p>
    <w:p>
      <w:pPr>
        <w:ind w:left="360"/>
        <w:pBdr>
          <w:left w:val="single" w:sz="18" w:space="8" w:color="94A3B8"/>
        </w:pBdr>
      </w:pPr>
      <w:r>
        <w:rPr>
          <w:b/>
          <w:i/>
        </w:rPr>
        <w:t>Recommended addition.</w:t>
      </w:r>
      <w:r>
        <w:rPr>
          <w:i/>
        </w:rPr>
        <w:t xml:space="preserve"> CEP lists Cash Forecasting / Scenario Planning as desired modules only. There is no dedicated forecast-driver interview in CEP v1.0. Questions below are reconstructed from </w:t>
      </w:r>
      <w:r>
        <w:rPr>
          <w:rFonts w:ascii="Consolas" w:hAnsi="Consolas"/>
          <w:i/>
          <w:sz w:val="18"/>
        </w:rPr>
        <w:t>docs/Forecasting_Assumptions.md</w:t>
      </w:r>
      <w:r>
        <w:rPr>
          <w:i/>
        </w:rPr>
        <w:t xml:space="preserve"> and related methodology docs for call use — do not present them as frozen CEP fields.</w:t>
      </w:r>
    </w:p>
    <w:p>
      <w:pPr>
        <w:pStyle w:val="Heading3"/>
      </w:pPr>
      <w:r>
        <w:t>How they forecast today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Who owns Forecast vs Budget vs Actual?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Budget:</w:t>
            </w:r>
            <w:r>
              <w:rPr>
                <w:rFonts w:ascii="Calibri" w:hAnsi="Calibri"/>
                <w:sz w:val="18"/>
              </w:rPr>
              <w:t xml:space="preserve"> Riley (FP&amp;A) / Sam (CFO) — annual Anaplan. </w:t>
            </w:r>
            <w:r>
              <w:rPr>
                <w:rFonts w:ascii="Calibri" w:hAnsi="Calibri"/>
                <w:b/>
                <w:sz w:val="18"/>
              </w:rPr>
              <w:t>Forecast:</w:t>
            </w:r>
            <w:r>
              <w:rPr>
                <w:rFonts w:ascii="Calibri" w:hAnsi="Calibri"/>
                <w:sz w:val="18"/>
              </w:rPr>
              <w:t xml:space="preserve"> Riley monthly driver-based reforecast. </w:t>
            </w:r>
            <w:r>
              <w:rPr>
                <w:rFonts w:ascii="Calibri" w:hAnsi="Calibri"/>
                <w:b/>
                <w:sz w:val="18"/>
              </w:rPr>
              <w:t>Actual:</w:t>
            </w:r>
            <w:r>
              <w:rPr>
                <w:rFonts w:ascii="Calibri" w:hAnsi="Calibri"/>
                <w:sz w:val="18"/>
              </w:rPr>
              <w:t xml:space="preserve"> Pat Morales certifies consolidated Actual; Drew certifies billing subledgers.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Combined cutover date (when Actual ends and Forecast begins)?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After consolidated close (</w:t>
            </w:r>
            <w:r>
              <w:rPr>
                <w:rFonts w:ascii="Calibri" w:hAnsi="Calibri"/>
                <w:b/>
                <w:sz w:val="18"/>
              </w:rPr>
              <w:t>BD+8</w:t>
            </w:r>
            <w:r>
              <w:rPr>
                <w:rFonts w:ascii="Calibri" w:hAnsi="Calibri"/>
                <w:sz w:val="18"/>
              </w:rPr>
              <w:t xml:space="preserve"> target). Forecast month begins day after certified Actual end. FYE Jan 31 complicates calendar packs — map SMPL periods to FY periods explicitly.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Method today: driver-based, spreadsheet judgment, CRM pipeline-weighted, or mix?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Driver-based primary</w:t>
            </w:r>
            <w:r>
              <w:rPr>
                <w:rFonts w:ascii="Calibri" w:hAnsi="Calibri"/>
                <w:sz w:val="18"/>
              </w:rPr>
              <w:t xml:space="preserve"> (new logo committed ARR, expansion rate, gross churn, usage revenue separate) + </w:t>
            </w:r>
            <w:r>
              <w:rPr>
                <w:rFonts w:ascii="Calibri" w:hAnsi="Calibri"/>
                <w:b/>
                <w:sz w:val="18"/>
              </w:rPr>
              <w:t>pipeline-weighted</w:t>
            </w:r>
            <w:r>
              <w:rPr>
                <w:rFonts w:ascii="Calibri" w:hAnsi="Calibri"/>
                <w:sz w:val="18"/>
              </w:rPr>
              <w:t xml:space="preserve"> check from Salesforce + judgment overlay for mega-deals. Anaplan for annual; Sheets bridge monthly.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Which scenarios do you need (Forecast / Budget / Upside / Downside)?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All four Day 1:</w:t>
            </w:r>
            <w:r>
              <w:rPr>
                <w:rFonts w:ascii="Calibri" w:hAnsi="Calibri"/>
                <w:sz w:val="18"/>
              </w:rPr>
              <w:t xml:space="preserve"> Forecast (base), Budget, Upside (+15% new ARR / lower churn), Downside (usage recession / delayed enterprise).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often do you refresh? What happens after close (Actual ending → next Forecast beginning)?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Full reforecast monthly post-close; flash update mid-month for Board if mega-deal slips. Actual locks; Forecast beginning ARR/cash/HC = certified endings; usage forecast re-seeded from last 3 months run-rate ≠ ARR.</w:t>
            </w:r>
          </w:p>
        </w:tc>
      </w:tr>
    </w:tbl>
    <w:p/>
    <w:p>
      <w:pPr>
        <w:pStyle w:val="Heading3"/>
      </w:pPr>
      <w:r>
        <w:t>Drivers to confirm (map to platform assumptions)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Drivers confirmed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Revenue / subscriptions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New committed ARR growth plan by segment (SMB / Mid / Ent); expansion ~3% of starting committed ARR/mo; gross churn targets by segment; NRR target 115% Board; terms </w:t>
            </w:r>
            <w:r>
              <w:rPr>
                <w:rFonts w:ascii="Calibri" w:hAnsi="Calibri"/>
                <w:b/>
                <w:sz w:val="18"/>
              </w:rPr>
              <w:t>12 / 24 / 36</w:t>
            </w:r>
            <w:r>
              <w:rPr>
                <w:rFonts w:ascii="Calibri" w:hAnsi="Calibri"/>
                <w:sz w:val="18"/>
              </w:rPr>
              <w:t>; enterprise ramp 1–3 months for PS-attached deals (ARR starts when subscription live, not when PS completes).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Pipeline / bookings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Win rates by stage </w:t>
            </w:r>
            <w:r>
              <w:rPr>
                <w:rFonts w:ascii="Calibri" w:hAnsi="Calibri"/>
                <w:b/>
                <w:sz w:val="18"/>
              </w:rPr>
              <w:t>but stage meanings ambiguous</w:t>
            </w:r>
            <w:r>
              <w:rPr>
                <w:rFonts w:ascii="Calibri" w:hAnsi="Calibri"/>
                <w:sz w:val="18"/>
              </w:rPr>
              <w:t xml:space="preserve"> (see §9); ASP by segment; Ent cycle 120–180 days; coverage 3.5× on Board ARR definition (not Sales ACV); closed-won ACV ↔ Board ARR bridge owned by RevOps + FP&amp;A.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Billings / rev rec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Billings growth ≠ ARR (usage + terms); PS ~12–15% of revenue — forecast PS separately; recognition patterns from NetSuite ARM.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Cash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DSO 35–50 by channel; DPO ~45; FX cash in GBP/EUR; min consolidated cash $12M; wire pairing required.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Headcount / opex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Hiring plan by dept in Anaplan; attrition 15%; contractors as flexible capacity; fully loaded cost Workday + burden; EU cost center cleanup dependency.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Marketing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MQL→SQL→Opp rates in Salesforce; CAC payback used for Board; paid + PLG dual funnel.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7. Close / GL / data readiness </w:t>
      </w:r>
      <w:r>
        <w:rPr>
          <w:i/>
        </w:rPr>
        <w:t>(Recommended — not formal CEP)</w:t>
      </w:r>
    </w:p>
    <w:p>
      <w:pPr>
        <w:ind w:left="360"/>
        <w:pBdr>
          <w:left w:val="single" w:sz="18" w:space="8" w:color="94A3B8"/>
        </w:pBdr>
      </w:pPr>
      <w:r>
        <w:rPr>
          <w:b/>
          <w:i/>
        </w:rPr>
        <w:t>Recommended addition.</w:t>
      </w:r>
      <w:r>
        <w:rPr>
          <w:i/>
        </w:rPr>
        <w:t xml:space="preserve"> Reconstructed from close / GL / reporting methodology docs. Useful for implementation blockers; not listed as CEP fields in v1.0.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Close calendar / SLA (e.g. business-day close)?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Entity soft close BD+5; </w:t>
            </w:r>
            <w:r>
              <w:rPr>
                <w:rFonts w:ascii="Calibri" w:hAnsi="Calibri"/>
                <w:b/>
                <w:sz w:val="18"/>
              </w:rPr>
              <w:t>consolidated hard close BD+8</w:t>
            </w:r>
            <w:r>
              <w:rPr>
                <w:rFonts w:ascii="Calibri" w:hAnsi="Calibri"/>
                <w:sz w:val="18"/>
              </w:rPr>
              <w:t>; Board pack BD+10. FYE January adds extended close (~BD+12).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First period of GL history available? Opening trial balance + ending retained earnings at cutoff?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NetSuite history from </w:t>
            </w:r>
            <w:r>
              <w:rPr>
                <w:rFonts w:ascii="Calibri" w:hAnsi="Calibri"/>
                <w:b/>
                <w:sz w:val="18"/>
              </w:rPr>
              <w:t>Feb 2022</w:t>
            </w:r>
            <w:r>
              <w:rPr>
                <w:rFonts w:ascii="Calibri" w:hAnsi="Calibri"/>
                <w:sz w:val="18"/>
              </w:rPr>
              <w:t xml:space="preserve"> (post-OneWorld go-live). For SMPL cutoff: provide </w:t>
            </w:r>
            <w:r>
              <w:rPr>
                <w:rFonts w:ascii="Calibri" w:hAnsi="Calibri"/>
                <w:b/>
                <w:sz w:val="18"/>
              </w:rPr>
              <w:t>opening TB per entity</w:t>
            </w:r>
            <w:r>
              <w:rPr>
                <w:rFonts w:ascii="Calibri" w:hAnsi="Calibri"/>
                <w:sz w:val="18"/>
              </w:rPr>
              <w:t xml:space="preserve">, consolidated TB, and </w:t>
            </w:r>
            <w:r>
              <w:rPr>
                <w:rFonts w:ascii="Calibri" w:hAnsi="Calibri"/>
                <w:b/>
                <w:sz w:val="18"/>
              </w:rPr>
              <w:t>ending retained earnings (RE)</w:t>
            </w:r>
            <w:r>
              <w:rPr>
                <w:rFonts w:ascii="Calibri" w:hAnsi="Calibri"/>
                <w:sz w:val="18"/>
              </w:rPr>
              <w:t xml:space="preserve"> at cutoff. Awareness: prior systems (legacy QuickBooks US pre-2022) will use </w:t>
            </w:r>
            <w:r>
              <w:rPr>
                <w:rFonts w:ascii="Calibri" w:hAnsi="Calibri"/>
                <w:b/>
                <w:sz w:val="18"/>
              </w:rPr>
              <w:t>RE_BASE / opening RE</w:t>
            </w:r>
            <w:r>
              <w:rPr>
                <w:rFonts w:ascii="Calibri" w:hAnsi="Calibri"/>
                <w:sz w:val="18"/>
              </w:rPr>
              <w:t xml:space="preserve"> treatment — do not reload pre-OneWorld detail. Pat to supply RE_BASE memo.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Chart of accounts → management reporting lines / EBITDA mapping?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NetSuite financial report layouts exist; management EBITDA bridge in Anaplan. Will export CoA → SMPL reporting line map (includes usage revenue vs subscription revenue vs PS).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Multi-entity structure? Dept vs cost center mapping ready?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Three subsidiaries + consol. Dept mapping ~90% ready; </w:t>
            </w:r>
            <w:r>
              <w:rPr>
                <w:rFonts w:ascii="Calibri" w:hAnsi="Calibri"/>
                <w:b/>
                <w:sz w:val="18"/>
              </w:rPr>
              <w:t>DE cost centers incomplete</w:t>
            </w:r>
            <w:r>
              <w:rPr>
                <w:rFonts w:ascii="Calibri" w:hAnsi="Calibri"/>
                <w:sz w:val="18"/>
              </w:rPr>
              <w:t xml:space="preserve"> — Phase 1 FI can roll entity/consol; dept expense forecasting waits on EU CC cleanup.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Validation sources for ending ARR, revenue, headcount (what do you tie to today)?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Board ARR: FP&amp;A Stripe+Zuora workbook. Revenue: NetSuite consolidated P&amp;L. HC: Workday census. Bookings: Salesforce — bridge, not tie, to ARR.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Who certifies Actual each month (Accounting / FP&amp;A / RevOps)?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Pat Morales</w:t>
            </w:r>
            <w:r>
              <w:rPr>
                <w:rFonts w:ascii="Calibri" w:hAnsi="Calibri"/>
                <w:sz w:val="18"/>
              </w:rPr>
              <w:t xml:space="preserve"> certifies consolidated Actual; </w:t>
            </w:r>
            <w:r>
              <w:rPr>
                <w:rFonts w:ascii="Calibri" w:hAnsi="Calibri"/>
                <w:b/>
                <w:sz w:val="18"/>
              </w:rPr>
              <w:t>Riley</w:t>
            </w:r>
            <w:r>
              <w:rPr>
                <w:rFonts w:ascii="Calibri" w:hAnsi="Calibri"/>
                <w:sz w:val="18"/>
              </w:rPr>
              <w:t xml:space="preserve"> certifies Forecast &amp; Board ARR; </w:t>
            </w:r>
            <w:r>
              <w:rPr>
                <w:rFonts w:ascii="Calibri" w:hAnsi="Calibri"/>
                <w:b/>
                <w:sz w:val="18"/>
              </w:rPr>
              <w:t>Casey</w:t>
            </w:r>
            <w:r>
              <w:rPr>
                <w:rFonts w:ascii="Calibri" w:hAnsi="Calibri"/>
                <w:sz w:val="18"/>
              </w:rPr>
              <w:t xml:space="preserve"> certifies pipeline; </w:t>
            </w:r>
            <w:r>
              <w:rPr>
                <w:rFonts w:ascii="Calibri" w:hAnsi="Calibri"/>
                <w:b/>
                <w:sz w:val="18"/>
              </w:rPr>
              <w:t>Drew</w:t>
            </w:r>
            <w:r>
              <w:rPr>
                <w:rFonts w:ascii="Calibri" w:hAnsi="Calibri"/>
                <w:sz w:val="18"/>
              </w:rPr>
              <w:t xml:space="preserve"> certifies billing subledger completeness.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8. Desired modules </w:t>
      </w:r>
      <w:r>
        <w:rPr>
          <w:i/>
        </w:rPr>
        <w:t>(CEP)</w:t>
      </w:r>
    </w:p>
    <w:p>
      <w:r>
        <w:t>Select for implementation roadmap: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Module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Include? (Y/N / Phase 2)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Financial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sz w:val="18"/>
              </w:rPr>
              <w:t xml:space="preserve"> (multi-entity consol)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Board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Executive Dashboards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Cash Forecasting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sz w:val="18"/>
              </w:rPr>
              <w:t xml:space="preserve"> (multi-currency / DSO)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ARR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sz w:val="18"/>
              </w:rPr>
              <w:t xml:space="preserve"> (Board canonical + Sales bridge later)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MRR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Pipeline Analytics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sz w:val="18"/>
              </w:rPr>
              <w:t xml:space="preserve"> (after stage gate)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Workforce Planning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sz w:val="18"/>
              </w:rPr>
              <w:t xml:space="preserve"> (employees + contractor split)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Scenario Planning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sz w:val="18"/>
              </w:rPr>
              <w:t xml:space="preserve"> (Forecast / Budget / Upside / Downside)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Executive Commentary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Phase 2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9. Optional — CRM stages / headcount </w:t>
      </w:r>
      <w:r>
        <w:rPr>
          <w:i/>
        </w:rPr>
        <w:t>(Gate examples from GPES)</w:t>
      </w:r>
    </w:p>
    <w:p>
      <w:r>
        <w:t>Ask only if CRM or HRIS is in scope and ambiguity appears after (or before) connect.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 any ambiguous CRM stage: does it mean Proposal vs Negotiate (or equivalent)?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Yes — ambiguity called out.</w:t>
            </w:r>
            <w:r>
              <w:rPr>
                <w:rFonts w:ascii="Calibri" w:hAnsi="Calibri"/>
                <w:sz w:val="18"/>
              </w:rPr>
              <w:t xml:space="preserve"> Salesforce stage </w:t>
            </w:r>
            <w:r>
              <w:rPr>
                <w:rFonts w:ascii="Calibri" w:hAnsi="Calibri"/>
                <w:b/>
                <w:sz w:val="18"/>
              </w:rPr>
              <w:t>“Contracting”</w:t>
            </w:r>
            <w:r>
              <w:rPr>
                <w:rFonts w:ascii="Calibri" w:hAnsi="Calibri"/>
                <w:sz w:val="18"/>
              </w:rPr>
              <w:t xml:space="preserve"> mixes legal redlines (Negotiate) and “sent for signature” (late Proposal). Decision: split into </w:t>
            </w:r>
            <w:r>
              <w:rPr>
                <w:rFonts w:ascii="Calibri" w:hAnsi="Calibri"/>
                <w:b/>
                <w:sz w:val="18"/>
              </w:rPr>
              <w:t>Contracting – Commercial</w:t>
            </w:r>
            <w:r>
              <w:rPr>
                <w:rFonts w:ascii="Calibri" w:hAnsi="Calibri"/>
                <w:sz w:val="18"/>
              </w:rPr>
              <w:t xml:space="preserve"> (= Negotiate) and </w:t>
            </w:r>
            <w:r>
              <w:rPr>
                <w:rFonts w:ascii="Calibri" w:hAnsi="Calibri"/>
                <w:b/>
                <w:sz w:val="18"/>
              </w:rPr>
              <w:t>Contracting – Signature</w:t>
            </w:r>
            <w:r>
              <w:rPr>
                <w:rFonts w:ascii="Calibri" w:hAnsi="Calibri"/>
                <w:sz w:val="18"/>
              </w:rPr>
              <w:t xml:space="preserve"> (= Proposal/Commit) before pipeline weighting goes live. Until then, weight </w:t>
            </w:r>
            <w:r>
              <w:rPr>
                <w:rFonts w:ascii="Calibri" w:hAnsi="Calibri"/>
                <w:b/>
                <w:sz w:val="18"/>
              </w:rPr>
              <w:t>Contracting</w:t>
            </w:r>
            <w:r>
              <w:rPr>
                <w:rFonts w:ascii="Calibri" w:hAnsi="Calibri"/>
                <w:sz w:val="18"/>
              </w:rPr>
              <w:t xml:space="preserve"> as Negotiate (lower win rate). Confirmed: Casey, 2026-03-18.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Which employment statuses count as active headcount — Active only, or Active + Leave of Absence?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Active + Paid Leave</w:t>
            </w:r>
            <w:r>
              <w:rPr>
                <w:rFonts w:ascii="Calibri" w:hAnsi="Calibri"/>
                <w:sz w:val="18"/>
              </w:rPr>
              <w:t xml:space="preserve"> for Employee HC. Unpaid leave / terminated excluded.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Should contractors be included in headcount?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Yes in Workforce / contractor series; No in Employee HC</w:t>
            </w:r>
            <w:r>
              <w:rPr>
                <w:rFonts w:ascii="Calibri" w:hAnsi="Calibri"/>
                <w:sz w:val="18"/>
              </w:rPr>
              <w:t xml:space="preserve"> (see 5.7). ~45 contractors material to capacity planning.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Allocate employee costs to GL cost centers for Department Expense Forecasting?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 for US/UK Day 1</w:t>
            </w:r>
            <w:r>
              <w:rPr>
                <w:rFonts w:ascii="Calibri" w:hAnsi="Calibri"/>
                <w:sz w:val="18"/>
              </w:rPr>
              <w:t xml:space="preserve">; </w:t>
            </w:r>
            <w:r>
              <w:rPr>
                <w:rFonts w:ascii="Calibri" w:hAnsi="Calibri"/>
                <w:b/>
                <w:sz w:val="18"/>
              </w:rPr>
              <w:t>DE deferred</w:t>
            </w:r>
            <w:r>
              <w:rPr>
                <w:rFonts w:ascii="Calibri" w:hAnsi="Calibri"/>
                <w:sz w:val="18"/>
              </w:rPr>
              <w:t xml:space="preserve"> until cost center mapping complete. Workday → NetSuite allocation required for dept expense forecast.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>Call-time shortlist (~15 min) — how this sample maps</w:t>
      </w:r>
    </w:p>
    <w:p>
      <w:r>
        <w:rPr>
          <w:b/>
        </w:rPr>
        <w:t>Must cover (CEP + gates):</w:t>
      </w:r>
      <w:r>
        <w:t xml:space="preserve"> Covered: multi-entity + USD consol → Stripe/Salesforce/NetSuite/Workday (+ Zuora bridge) → </w:t>
      </w:r>
      <w:r>
        <w:rPr>
          <w:b/>
        </w:rPr>
        <w:t>Board ARR canonical vs Sales ACV</w:t>
      </w:r>
      <w:r>
        <w:t xml:space="preserve"> → trials exclude / past_due exclude for Board → </w:t>
      </w:r>
      <w:r>
        <w:rPr>
          <w:b/>
        </w:rPr>
        <w:t>committed min in ARR, overages out</w:t>
      </w:r>
      <w:r>
        <w:t xml:space="preserve"> → hybrid rev-rec → systems of record split CPQ vs billing → modules → FYE Jan 31.</w:t>
      </w:r>
    </w:p>
    <w:p>
      <w:r>
        <w:rPr>
          <w:b/>
        </w:rPr>
        <w:t>Should cover if time:</w:t>
      </w:r>
      <w:r>
        <w:t xml:space="preserve"> Pipeline stage “Contracting” ambiguity · contractors in workforce · multi Stripe accounts · invoice/ACH lag · 180-day reactivation.</w:t>
      </w:r>
    </w:p>
    <w:p>
      <w:r>
        <w:rPr>
          <w:b/>
        </w:rPr>
        <w:t>Recommended extras (label clearly):</w:t>
      </w:r>
      <w:r>
        <w:t xml:space="preserve"> Driver-based forecast + four scenarios · close BD+8 · GL cutoff with </w:t>
      </w:r>
      <w:r>
        <w:rPr>
          <w:b/>
        </w:rPr>
        <w:t>RE_BASE</w:t>
      </w:r>
      <w:r>
        <w:t xml:space="preserve"> for pre-OneWorld history · dual ARR intents documented.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>Source map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Content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Sections 1–3, 5, 8, SoA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backend/tmp/impl-docs/CEP_v1.0.txt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Formal CEP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4 ARR gates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backend/tmp/impl-docs/phase3/SMPL_GPES_001_SaaS_Golden_Path_v1.1.txt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</w:rPr>
              <w:t>backend/tmp/impl-docs/SMPL_CKR_Billing_Registry_v0.2.txt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Formal gate / CKR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6 Forecasting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docs/Forecasting_Assumptions.md</w:t>
            </w:r>
            <w:r>
              <w:rPr>
                <w:rFonts w:ascii="Calibri" w:hAnsi="Calibri"/>
                <w:sz w:val="18"/>
              </w:rPr>
              <w:t xml:space="preserve"> (+ reporting methodology)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Recommended — not CEP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7 Close / GL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docs/Close_Process.md</w:t>
            </w:r>
            <w:r>
              <w:rPr>
                <w:rFonts w:ascii="Calibri" w:hAnsi="Calibri"/>
                <w:sz w:val="18"/>
              </w:rPr>
              <w:t>, close/GL readiness materials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Recommended — not CEP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9 CRM / HC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GPES HubSpot + Rippling gate examples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Documented examples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r>
        <w:rPr>
          <w:i/>
        </w:rPr>
        <w:t>SAMPLE — fictional customer for illustration. CEP remains the evolving implementation record after systems connect.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