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Onboarding — Discovery Call Sheet</w:t>
      </w:r>
    </w:p>
    <w:p>
      <w:r>
        <w:rPr>
          <w:b/>
        </w:rPr>
        <w:t>SAMPLE — illustrative only; not a real customer.</w:t>
      </w:r>
      <w:r>
        <w:t xml:space="preserve"> </w:t>
      </w:r>
      <w:r>
        <w:rPr>
          <w:b/>
        </w:rPr>
        <w:t>Persona:</w:t>
      </w:r>
      <w:r>
        <w:t xml:space="preserve"> Acme Analytics (standard / straightforward SaaS) </w:t>
      </w:r>
      <w:r>
        <w:rPr>
          <w:b/>
        </w:rPr>
        <w:t>Filled for:</w:t>
      </w:r>
      <w:r>
        <w:t xml:space="preserve"> showing customers what complete, decision-ready answers look like </w:t>
      </w:r>
      <w:r>
        <w:rPr>
          <w:b/>
        </w:rPr>
        <w:t>Audience:</w:t>
      </w:r>
      <w:r>
        <w:t xml:space="preserve"> Implementation / CS (customer-facing) </w:t>
      </w:r>
      <w:r>
        <w:rPr>
          <w:b/>
        </w:rPr>
        <w:t>Use:</w:t>
      </w:r>
      <w:r>
        <w:t xml:space="preserve"> First discovery call attachment or Notion paste </w:t>
      </w:r>
      <w:r>
        <w:rPr>
          <w:b/>
        </w:rPr>
        <w:t>Principle:</w:t>
      </w:r>
      <w:r>
        <w:t xml:space="preserve"> Under ~15 minutes on first pass — ask only what systems cannot discover. </w:t>
      </w:r>
      <w:r>
        <w:rPr>
          <w:b/>
        </w:rPr>
        <w:t>Source of truth for formal fields:</w:t>
      </w:r>
      <w:r>
        <w:t xml:space="preserve"> Customer Environment Profile (CEP / ABS-009) v1.0</w:t>
      </w:r>
    </w:p>
    <w:p>
      <w:pPr>
        <w:spacing w:before="80" w:after="80"/>
        <w:pBdr>
          <w:bottom w:val="single" w:sz="6" w:space="1" w:color="C5CCD6"/>
        </w:pBdr>
      </w:pPr>
    </w:p>
    <w:p>
      <w:pPr>
        <w:pStyle w:val="Heading2"/>
      </w:pPr>
      <w:r>
        <w:t>How to use this sheet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0B8C4"/>
          <w:left w:val="single" w:sz="4" w:space="0" w:color="B0B8C4"/>
          <w:bottom w:val="single" w:sz="4" w:space="0" w:color="B0B8C4"/>
          <w:right w:val="single" w:sz="4" w:space="0" w:color="B0B8C4"/>
          <w:insideH w:val="single" w:sz="4" w:space="0" w:color="B0B8C4"/>
          <w:insideV w:val="single" w:sz="4" w:space="0" w:color="B0B8C4"/>
        </w:tblBorders>
      </w:tblPr>
      <w:tblGrid>
        <w:gridCol w:w="4896"/>
        <w:gridCol w:w="4896"/>
      </w:tblGrid>
      <w:tr>
        <w:tc>
          <w:tcPr>
            <w:tcW w:type="dxa" w:w="4896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Label</w:t>
            </w:r>
          </w:p>
        </w:tc>
        <w:tc>
          <w:tcPr>
            <w:tcW w:type="dxa" w:w="4896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Meaning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CEP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Documented Customer Environment Profile field — safe to treat as formal onboarding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Gate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Concrete ARR / subscription decision from GPES + Billing CKR — blocks ARR until answered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Recommended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Reconstructed from product methodology docs — </w:t>
            </w:r>
            <w:r>
              <w:rPr>
                <w:rFonts w:ascii="Calibri" w:hAnsi="Calibri"/>
                <w:b/>
                <w:sz w:val="18"/>
              </w:rPr>
              <w:t>not yet a formal CEP field</w:t>
            </w:r>
            <w:r>
              <w:rPr>
                <w:rFonts w:ascii="Calibri" w:hAnsi="Calibri"/>
                <w:sz w:val="18"/>
              </w:rPr>
              <w:t>; do not over-claim</w:t>
            </w:r>
          </w:p>
        </w:tc>
      </w:tr>
    </w:tbl>
    <w:p/>
    <w:p>
      <w:r>
        <w:rPr>
          <w:b/>
        </w:rPr>
        <w:t>Do not ask on this call:</w:t>
      </w:r>
      <w:r>
        <w:t xml:space="preserve"> API scopes, auth methods, field mappings, custom fields, pipeline inventories, currencies, org hierarchies — those are auto-discovered after connect.</w:t>
      </w:r>
    </w:p>
    <w:p>
      <w:r>
        <w:rPr>
          <w:b/>
        </w:rPr>
        <w:t>Capture style:</w:t>
      </w:r>
      <w:r>
        <w:t xml:space="preserve"> Decision + owner (who confirmed) + date. Prefer “accept SMPL default” over inventing policy on the fly.</w:t>
      </w:r>
    </w:p>
    <w:p>
      <w:r>
        <w:rPr>
          <w:b/>
        </w:rPr>
        <w:t>Sample capture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0B8C4"/>
          <w:left w:val="single" w:sz="4" w:space="0" w:color="B0B8C4"/>
          <w:bottom w:val="single" w:sz="4" w:space="0" w:color="B0B8C4"/>
          <w:right w:val="single" w:sz="4" w:space="0" w:color="B0B8C4"/>
          <w:insideH w:val="single" w:sz="4" w:space="0" w:color="B0B8C4"/>
          <w:insideV w:val="single" w:sz="4" w:space="0" w:color="B0B8C4"/>
        </w:tblBorders>
      </w:tblPr>
      <w:tblGrid>
        <w:gridCol w:w="4896"/>
        <w:gridCol w:w="4896"/>
      </w:tblGrid>
      <w:tr>
        <w:tc>
          <w:tcPr>
            <w:tcW w:type="dxa" w:w="4896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4896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Value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Call date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2026-03-12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Confirmed by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Priya Shah (VP Finance)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Also present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Jordan Lee (RevOps), Alex Chen (Controller)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Day-1 ARR intent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Single canonical ARR (Board = Operational)</w:t>
            </w:r>
          </w:p>
        </w:tc>
      </w:tr>
    </w:tbl>
    <w:p/>
    <w:p>
      <w:pPr>
        <w:spacing w:before="80" w:after="80"/>
        <w:pBdr>
          <w:bottom w:val="single" w:sz="6" w:space="1" w:color="C5CCD6"/>
        </w:pBdr>
      </w:pPr>
    </w:p>
    <w:p>
      <w:pPr>
        <w:pStyle w:val="Heading2"/>
      </w:pPr>
      <w:r>
        <w:t xml:space="preserve">1. Company overview </w:t>
      </w:r>
      <w:r>
        <w:rPr>
          <w:i/>
        </w:rPr>
        <w:t>(CEP)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0B8C4"/>
          <w:left w:val="single" w:sz="4" w:space="0" w:color="B0B8C4"/>
          <w:bottom w:val="single" w:sz="4" w:space="0" w:color="B0B8C4"/>
          <w:right w:val="single" w:sz="4" w:space="0" w:color="B0B8C4"/>
          <w:insideH w:val="single" w:sz="4" w:space="0" w:color="B0B8C4"/>
          <w:insideV w:val="single" w:sz="4" w:space="0" w:color="B0B8C4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3264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Question</w:t>
            </w:r>
          </w:p>
        </w:tc>
        <w:tc>
          <w:tcPr>
            <w:tcW w:type="dxa" w:w="3264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Notes / answer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1.1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Company name (legal or preferred operating)?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Acme Analytics, Inc.</w:t>
            </w:r>
            <w:r>
              <w:rPr>
                <w:rFonts w:ascii="Calibri" w:hAnsi="Calibri"/>
                <w:sz w:val="18"/>
              </w:rPr>
              <w:t xml:space="preserve"> (operating name: Acme Analytics)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1.2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Industry?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B2B SaaS — product analytics / BI for mid-market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1.3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Business model?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SaaS subscription</w:t>
            </w:r>
            <w:r>
              <w:rPr>
                <w:rFonts w:ascii="Calibri" w:hAnsi="Calibri"/>
                <w:sz w:val="18"/>
              </w:rPr>
              <w:t xml:space="preserve"> (annual and monthly seats). No metered usage billing today. Professional services are rare (&lt;5% of revenue) and booked separately — not in ARR.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1.4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Headquarters?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Austin, TX, USA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1.5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Operating countries / entities?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Single legal entity</w:t>
            </w:r>
            <w:r>
              <w:rPr>
                <w:rFonts w:ascii="Calibri" w:hAnsi="Calibri"/>
                <w:sz w:val="18"/>
              </w:rPr>
              <w:t xml:space="preserve"> (Acme Analytics, Inc.). Customers mostly US/Canada; a few UK logos billed in USD.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1.6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Primary reporting currency?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USD</w:t>
            </w:r>
            <w:r>
              <w:rPr>
                <w:rFonts w:ascii="Calibri" w:hAnsi="Calibri"/>
                <w:sz w:val="18"/>
              </w:rPr>
              <w:t xml:space="preserve"> — all FI / board reporting in USD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1.7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Approximate revenue range?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~$18–22M ARR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1.8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Approximate employee count?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~95 W-2 employees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1.9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Fiscal year end?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December 31</w:t>
            </w:r>
            <w:r>
              <w:rPr>
                <w:rFonts w:ascii="Calibri" w:hAnsi="Calibri"/>
                <w:sz w:val="18"/>
              </w:rPr>
              <w:t xml:space="preserve"> (calendar year)</w:t>
            </w:r>
          </w:p>
        </w:tc>
      </w:tr>
    </w:tbl>
    <w:p/>
    <w:p>
      <w:pPr>
        <w:spacing w:before="80" w:after="80"/>
        <w:pBdr>
          <w:bottom w:val="single" w:sz="6" w:space="1" w:color="C5CCD6"/>
        </w:pBdr>
      </w:pPr>
    </w:p>
    <w:p>
      <w:pPr>
        <w:pStyle w:val="Heading2"/>
      </w:pPr>
      <w:r>
        <w:t xml:space="preserve">2. Connected systems </w:t>
      </w:r>
      <w:r>
        <w:rPr>
          <w:i/>
        </w:rPr>
        <w:t>(CEP)</w:t>
      </w:r>
    </w:p>
    <w:p>
      <w:r>
        <w:t>For each relevant system (ERP, CRM, Billing, HRIS, Payroll, Planning, Data Warehouse, BI, other):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0B8C4"/>
          <w:left w:val="single" w:sz="4" w:space="0" w:color="B0B8C4"/>
          <w:bottom w:val="single" w:sz="4" w:space="0" w:color="B0B8C4"/>
          <w:right w:val="single" w:sz="4" w:space="0" w:color="B0B8C4"/>
          <w:insideH w:val="single" w:sz="4" w:space="0" w:color="B0B8C4"/>
          <w:insideV w:val="single" w:sz="4" w:space="0" w:color="B0B8C4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System type</w:t>
            </w:r>
          </w:p>
        </w:tc>
        <w:tc>
          <w:tcPr>
            <w:tcW w:type="dxa" w:w="1958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2.1 Vendor</w:t>
            </w:r>
          </w:p>
        </w:tc>
        <w:tc>
          <w:tcPr>
            <w:tcW w:type="dxa" w:w="1958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2.2 Version (if known)</w:t>
            </w:r>
          </w:p>
        </w:tc>
        <w:tc>
          <w:tcPr>
            <w:tcW w:type="dxa" w:w="1958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2.3 Primary business owner</w:t>
            </w:r>
          </w:p>
        </w:tc>
        <w:tc>
          <w:tcPr>
            <w:tcW w:type="dxa" w:w="1958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2.4 Implementation contact</w:t>
            </w:r>
          </w:p>
        </w:tc>
      </w:tr>
      <w:tr>
        <w:tc>
          <w:tcPr>
            <w:tcW w:type="dxa" w:w="195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Billing</w:t>
            </w:r>
          </w:p>
        </w:tc>
        <w:tc>
          <w:tcPr>
            <w:tcW w:type="dxa" w:w="195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Stripe</w:t>
            </w:r>
            <w:r>
              <w:rPr>
                <w:rFonts w:ascii="Calibri" w:hAnsi="Calibri"/>
                <w:sz w:val="18"/>
              </w:rPr>
              <w:t xml:space="preserve"> Billing</w:t>
            </w:r>
          </w:p>
        </w:tc>
        <w:tc>
          <w:tcPr>
            <w:tcW w:type="dxa" w:w="195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Current (cloud)</w:t>
            </w:r>
          </w:p>
        </w:tc>
        <w:tc>
          <w:tcPr>
            <w:tcW w:type="dxa" w:w="195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Priya Shah (VP Finance)</w:t>
            </w:r>
          </w:p>
        </w:tc>
        <w:tc>
          <w:tcPr>
            <w:tcW w:type="dxa" w:w="195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Morgan Blake (Finance Systems)</w:t>
            </w:r>
          </w:p>
        </w:tc>
      </w:tr>
      <w:tr>
        <w:tc>
          <w:tcPr>
            <w:tcW w:type="dxa" w:w="195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CRM</w:t>
            </w:r>
          </w:p>
        </w:tc>
        <w:tc>
          <w:tcPr>
            <w:tcW w:type="dxa" w:w="195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HubSpot</w:t>
            </w:r>
            <w:r>
              <w:rPr>
                <w:rFonts w:ascii="Calibri" w:hAnsi="Calibri"/>
                <w:sz w:val="18"/>
              </w:rPr>
              <w:t xml:space="preserve"> Sales Hub</w:t>
            </w:r>
          </w:p>
        </w:tc>
        <w:tc>
          <w:tcPr>
            <w:tcW w:type="dxa" w:w="195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Enterprise</w:t>
            </w:r>
          </w:p>
        </w:tc>
        <w:tc>
          <w:tcPr>
            <w:tcW w:type="dxa" w:w="195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Jordan Lee (RevOps)</w:t>
            </w:r>
          </w:p>
        </w:tc>
        <w:tc>
          <w:tcPr>
            <w:tcW w:type="dxa" w:w="195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Jordan Lee</w:t>
            </w:r>
          </w:p>
        </w:tc>
      </w:tr>
      <w:tr>
        <w:tc>
          <w:tcPr>
            <w:tcW w:type="dxa" w:w="195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ERP / GL</w:t>
            </w:r>
          </w:p>
        </w:tc>
        <w:tc>
          <w:tcPr>
            <w:tcW w:type="dxa" w:w="195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QuickBooks Online</w:t>
            </w:r>
            <w:r>
              <w:rPr>
                <w:rFonts w:ascii="Calibri" w:hAnsi="Calibri"/>
                <w:sz w:val="18"/>
              </w:rPr>
              <w:t xml:space="preserve"> Advanced</w:t>
            </w:r>
          </w:p>
        </w:tc>
        <w:tc>
          <w:tcPr>
            <w:tcW w:type="dxa" w:w="195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Current</w:t>
            </w:r>
          </w:p>
        </w:tc>
        <w:tc>
          <w:tcPr>
            <w:tcW w:type="dxa" w:w="195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Alex Chen (Controller)</w:t>
            </w:r>
          </w:p>
        </w:tc>
        <w:tc>
          <w:tcPr>
            <w:tcW w:type="dxa" w:w="195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Morgan Blake</w:t>
            </w:r>
          </w:p>
        </w:tc>
      </w:tr>
      <w:tr>
        <w:tc>
          <w:tcPr>
            <w:tcW w:type="dxa" w:w="195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HRIS / Payroll</w:t>
            </w:r>
          </w:p>
        </w:tc>
        <w:tc>
          <w:tcPr>
            <w:tcW w:type="dxa" w:w="195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Rippling</w:t>
            </w:r>
          </w:p>
        </w:tc>
        <w:tc>
          <w:tcPr>
            <w:tcW w:type="dxa" w:w="195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Current</w:t>
            </w:r>
          </w:p>
        </w:tc>
        <w:tc>
          <w:tcPr>
            <w:tcW w:type="dxa" w:w="195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Dana Ortiz (People Ops)</w:t>
            </w:r>
          </w:p>
        </w:tc>
        <w:tc>
          <w:tcPr>
            <w:tcW w:type="dxa" w:w="195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Dana Ortiz</w:t>
            </w:r>
          </w:p>
        </w:tc>
      </w:tr>
      <w:tr>
        <w:tc>
          <w:tcPr>
            <w:tcW w:type="dxa" w:w="195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Planning</w:t>
            </w:r>
          </w:p>
        </w:tc>
        <w:tc>
          <w:tcPr>
            <w:tcW w:type="dxa" w:w="195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Google Sheets + annual board budget workbook</w:t>
            </w:r>
          </w:p>
        </w:tc>
        <w:tc>
          <w:tcPr>
            <w:tcW w:type="dxa" w:w="195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N/A</w:t>
            </w:r>
          </w:p>
        </w:tc>
        <w:tc>
          <w:tcPr>
            <w:tcW w:type="dxa" w:w="195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Priya Shah</w:t>
            </w:r>
          </w:p>
        </w:tc>
        <w:tc>
          <w:tcPr>
            <w:tcW w:type="dxa" w:w="195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Priya Shah</w:t>
            </w:r>
          </w:p>
        </w:tc>
      </w:tr>
      <w:tr>
        <w:tc>
          <w:tcPr>
            <w:tcW w:type="dxa" w:w="195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BI</w:t>
            </w:r>
          </w:p>
        </w:tc>
        <w:tc>
          <w:tcPr>
            <w:tcW w:type="dxa" w:w="195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HubSpot dashboards + Looker Studio (light)</w:t>
            </w:r>
          </w:p>
        </w:tc>
        <w:tc>
          <w:tcPr>
            <w:tcW w:type="dxa" w:w="195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N/A</w:t>
            </w:r>
          </w:p>
        </w:tc>
        <w:tc>
          <w:tcPr>
            <w:tcW w:type="dxa" w:w="195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Jordan Lee</w:t>
            </w:r>
          </w:p>
        </w:tc>
        <w:tc>
          <w:tcPr>
            <w:tcW w:type="dxa" w:w="195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195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Data Warehouse</w:t>
            </w:r>
          </w:p>
        </w:tc>
        <w:tc>
          <w:tcPr>
            <w:tcW w:type="dxa" w:w="195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None in Day 1 scope</w:t>
            </w:r>
          </w:p>
        </w:tc>
        <w:tc>
          <w:tcPr>
            <w:tcW w:type="dxa" w:w="195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95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95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—</w:t>
            </w:r>
          </w:p>
        </w:tc>
      </w:tr>
    </w:tbl>
    <w:p/>
    <w:p>
      <w:r>
        <w:t>Skip technical connector detail here.</w:t>
      </w:r>
    </w:p>
    <w:p>
      <w:pPr>
        <w:spacing w:before="80" w:after="80"/>
        <w:pBdr>
          <w:bottom w:val="single" w:sz="6" w:space="1" w:color="C5CCD6"/>
        </w:pBdr>
      </w:pPr>
    </w:p>
    <w:p>
      <w:pPr>
        <w:pStyle w:val="Heading2"/>
      </w:pPr>
      <w:r>
        <w:t xml:space="preserve">3. Business definitions </w:t>
      </w:r>
      <w:r>
        <w:rPr>
          <w:i/>
        </w:rPr>
        <w:t>(CEP)</w:t>
      </w:r>
    </w:p>
    <w:p>
      <w:r>
        <w:t xml:space="preserve">Customer-specific definition </w:t>
      </w:r>
      <w:r>
        <w:rPr>
          <w:b/>
        </w:rPr>
        <w:t>or</w:t>
      </w:r>
      <w:r>
        <w:t xml:space="preserve"> accept SMPL standard default: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0B8C4"/>
          <w:left w:val="single" w:sz="4" w:space="0" w:color="B0B8C4"/>
          <w:bottom w:val="single" w:sz="4" w:space="0" w:color="B0B8C4"/>
          <w:right w:val="single" w:sz="4" w:space="0" w:color="B0B8C4"/>
          <w:insideH w:val="single" w:sz="4" w:space="0" w:color="B0B8C4"/>
          <w:insideV w:val="single" w:sz="4" w:space="0" w:color="B0B8C4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3264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Metric / concept</w:t>
            </w:r>
          </w:p>
        </w:tc>
        <w:tc>
          <w:tcPr>
            <w:tcW w:type="dxa" w:w="3264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Decision (custom / SMPL default)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3.1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Active Customer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SMPL default:</w:t>
            </w:r>
            <w:r>
              <w:rPr>
                <w:rFonts w:ascii="Calibri" w:hAnsi="Calibri"/>
                <w:sz w:val="18"/>
              </w:rPr>
              <w:t xml:space="preserve"> paying account with at least one non-canceled, non-trial subscription. Parent company = one customer (no multi-entity complexity).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3.2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ARR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SMPL default / single intent:</w:t>
            </w:r>
            <w:r>
              <w:rPr>
                <w:rFonts w:ascii="Calibri" w:hAnsi="Calibri"/>
                <w:sz w:val="18"/>
              </w:rPr>
              <w:t xml:space="preserve"> annualized recurring subscription revenue from active paid subscriptions. Exclude one-time fees, PS, and trials. Canonical for Board, Investor, and Operational reporting Day 1.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3.3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MRR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ARR ÷ 12. Same inclusion rules as ARR.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3.4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Churn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Logo or ARR lost when subscription cancels / is not renewed. Report both logo churn and gross ARR churn.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3.5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Expansion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Net increase in ARR from existing customers (upsell seats / plan upgrades) in period.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3.6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Contraction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Decrease in ARR from existing customers still active (downgrades / seat reductions), separate from full churn.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3.7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Renewal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Same-customer continuation at renewal date; price increases at renewal count as expansion, not new logo.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3.8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Bookings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Closed-won ACV from HubSpot; expected to tie to Stripe new/expansion ARR within ~5% monthly (RevOps owns recon).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3.9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Qualified Pipeline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HubSpot stages </w:t>
            </w:r>
            <w:r>
              <w:rPr>
                <w:rFonts w:ascii="Calibri" w:hAnsi="Calibri"/>
                <w:b/>
                <w:sz w:val="18"/>
              </w:rPr>
              <w:t>Proposal Sent</w:t>
            </w:r>
            <w:r>
              <w:rPr>
                <w:rFonts w:ascii="Calibri" w:hAnsi="Calibri"/>
                <w:sz w:val="18"/>
              </w:rPr>
              <w:t xml:space="preserve"> and later (weighted pipeline for forecast).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3.10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Active Employee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Rippling status = Active (W-2).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3.11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1099 / external; </w:t>
            </w:r>
            <w:r>
              <w:rPr>
                <w:rFonts w:ascii="Calibri" w:hAnsi="Calibri"/>
                <w:b/>
                <w:sz w:val="18"/>
              </w:rPr>
              <w:t>excluded</w:t>
            </w:r>
            <w:r>
              <w:rPr>
                <w:rFonts w:ascii="Calibri" w:hAnsi="Calibri"/>
                <w:sz w:val="18"/>
              </w:rPr>
              <w:t xml:space="preserve"> from headcount metrics Day 1 (see 5.7).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3.12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FTE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Headcount count (1.0 per active employee); part-timers rare — treat as 1.0 if Active.</w:t>
            </w:r>
          </w:p>
        </w:tc>
      </w:tr>
    </w:tbl>
    <w:p/>
    <w:p>
      <w:r>
        <w:t>*</w:t>
      </w:r>
      <w:r>
        <w:rPr>
          <w:i/>
        </w:rPr>
        <w:t xml:space="preserve">Also ask </w:t>
      </w:r>
      <w:r>
        <w:t>(CEP + FIE intent):*** Do you report more than one ARR to different audiences (e.g. Board / Investor / Operational / Sales)? If yes, which is canonical for SMPL Day 1?</w:t>
      </w:r>
    </w:p>
    <w:p>
      <w:r>
        <w:rPr>
          <w:b/>
        </w:rPr>
        <w:t>Answer:</w:t>
      </w:r>
      <w:r>
        <w:t xml:space="preserve"> </w:t>
      </w:r>
      <w:r>
        <w:rPr>
          <w:b/>
        </w:rPr>
        <w:t>No.</w:t>
      </w:r>
      <w:r>
        <w:t xml:space="preserve"> One ARR definition for board, investors, and ops. Sales ACV in HubSpot is bookings, not a second ARR. Canonical Day 1 = SMPL ARR from Stripe. Confirmed: Priya Shah, 2026-03-12.</w:t>
      </w:r>
    </w:p>
    <w:p>
      <w:pPr>
        <w:spacing w:before="80" w:after="80"/>
        <w:pBdr>
          <w:bottom w:val="single" w:sz="6" w:space="1" w:color="C5CCD6"/>
        </w:pBdr>
      </w:pPr>
    </w:p>
    <w:p>
      <w:pPr>
        <w:pStyle w:val="Heading2"/>
      </w:pPr>
      <w:r>
        <w:t xml:space="preserve">4. ARR / subscription policy decisions — hard gates </w:t>
      </w:r>
      <w:r>
        <w:rPr>
          <w:i/>
        </w:rPr>
        <w:t>(Gate)</w:t>
      </w:r>
    </w:p>
    <w:p>
      <w:r>
        <w:t xml:space="preserve">These come from the </w:t>
      </w:r>
      <w:r>
        <w:rPr>
          <w:b/>
        </w:rPr>
        <w:t>Subscription Normalization Gate</w:t>
      </w:r>
      <w:r>
        <w:t xml:space="preserve"> (GPES Stripe reference + Billing CKR). ARR Movement is blocked until resolved. Defaults below are SMPL defaults — confirm explicitly; trial treatment is the most common ARR disagreement.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0B8C4"/>
          <w:left w:val="single" w:sz="4" w:space="0" w:color="B0B8C4"/>
          <w:bottom w:val="single" w:sz="4" w:space="0" w:color="B0B8C4"/>
          <w:right w:val="single" w:sz="4" w:space="0" w:color="B0B8C4"/>
          <w:insideH w:val="single" w:sz="4" w:space="0" w:color="B0B8C4"/>
          <w:insideV w:val="single" w:sz="4" w:space="0" w:color="B0B8C4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448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Gate question</w:t>
            </w:r>
          </w:p>
        </w:tc>
        <w:tc>
          <w:tcPr>
            <w:tcW w:type="dxa" w:w="2448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SMPL default</w:t>
            </w:r>
          </w:p>
        </w:tc>
        <w:tc>
          <w:tcPr>
            <w:tcW w:type="dxa" w:w="2448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Customer answer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4.1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Include </w:t>
            </w:r>
            <w:r>
              <w:rPr>
                <w:rFonts w:ascii="Calibri" w:hAnsi="Calibri"/>
                <w:b/>
                <w:sz w:val="18"/>
              </w:rPr>
              <w:t>trialing</w:t>
            </w:r>
            <w:r>
              <w:rPr>
                <w:rFonts w:ascii="Calibri" w:hAnsi="Calibri"/>
                <w:sz w:val="18"/>
              </w:rPr>
              <w:t xml:space="preserve"> subscriptions in ARR?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Exclude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Accept SMPL default — Exclude.</w:t>
            </w:r>
            <w:r>
              <w:rPr>
                <w:rFonts w:ascii="Calibri" w:hAnsi="Calibri"/>
                <w:sz w:val="18"/>
              </w:rPr>
              <w:t xml:space="preserve"> Trials convert before counting. Confirmed: Priya / Jordan, 2026-03-12.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4.2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Include </w:t>
            </w:r>
            <w:r>
              <w:rPr>
                <w:rFonts w:ascii="Calibri" w:hAnsi="Calibri"/>
                <w:b/>
                <w:sz w:val="18"/>
              </w:rPr>
              <w:t>past_due / unpaid</w:t>
            </w:r>
            <w:r>
              <w:rPr>
                <w:rFonts w:ascii="Calibri" w:hAnsi="Calibri"/>
                <w:sz w:val="18"/>
              </w:rPr>
              <w:t xml:space="preserve"> subscriptions in ARR?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Exclude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Accept SMPL default — Exclude.</w:t>
            </w:r>
            <w:r>
              <w:rPr>
                <w:rFonts w:ascii="Calibri" w:hAnsi="Calibri"/>
                <w:sz w:val="18"/>
              </w:rPr>
              <w:t xml:space="preserve"> Collections works ~14 days; ARR drops when Stripe moves past_due until paid. Confirmed: Alex Chen.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4.3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Usage-based ARR policy</w:t>
            </w:r>
            <w:r>
              <w:rPr>
                <w:rFonts w:ascii="Calibri" w:hAnsi="Calibri"/>
                <w:sz w:val="18"/>
              </w:rPr>
              <w:t xml:space="preserve"> (only if metered pricing exists): are committed minimums in ARR? Uncommitted overages?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N/A if no metered pricing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N/A — no metered / usage pricing.</w:t>
            </w:r>
            <w:r>
              <w:rPr>
                <w:rFonts w:ascii="Calibri" w:hAnsi="Calibri"/>
                <w:sz w:val="18"/>
              </w:rPr>
              <w:t xml:space="preserve"> Seat-based only.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4.4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If usage exists: pricing method?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per-unit / tiered / volume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N/A</w:t>
            </w:r>
          </w:p>
        </w:tc>
      </w:tr>
    </w:tbl>
    <w:p/>
    <w:p>
      <w:r>
        <w:t>*</w:t>
      </w:r>
      <w:r>
        <w:rPr>
          <w:i/>
        </w:rPr>
        <w:t xml:space="preserve">Related billing decisions </w:t>
      </w:r>
      <w:r>
        <w:t>(Gate / Billing CKR Implementation Decision Flow):***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0B8C4"/>
          <w:left w:val="single" w:sz="4" w:space="0" w:color="B0B8C4"/>
          <w:bottom w:val="single" w:sz="4" w:space="0" w:color="B0B8C4"/>
          <w:right w:val="single" w:sz="4" w:space="0" w:color="B0B8C4"/>
          <w:insideH w:val="single" w:sz="4" w:space="0" w:color="B0B8C4"/>
          <w:insideV w:val="single" w:sz="4" w:space="0" w:color="B0B8C4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3264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Question</w:t>
            </w:r>
          </w:p>
        </w:tc>
        <w:tc>
          <w:tcPr>
            <w:tcW w:type="dxa" w:w="3264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Answer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4.5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Is Billing the authoritative source for subscriptions, or is there a separate CPQ / contract system?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Stripe is authoritative</w:t>
            </w:r>
            <w:r>
              <w:rPr>
                <w:rFonts w:ascii="Calibri" w:hAnsi="Calibri"/>
                <w:sz w:val="18"/>
              </w:rPr>
              <w:t xml:space="preserve"> for subscriptions and ARR. HubSpot is CRM / opportunities only (no CPQ). DocuSign for MSA; commercial terms live in Stripe.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4.6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Multiple subscription items / add-ons — how should they aggregate into ARR?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Sum all recurring line items on the subscription (base plan + add-on modules). One-time onboarding SKUs excluded.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4.7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Multiple billing accounts / sites (regional / product) — consolidation strategy?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Single Stripe account</w:t>
            </w:r>
            <w:r>
              <w:rPr>
                <w:rFonts w:ascii="Calibri" w:hAnsi="Calibri"/>
                <w:sz w:val="18"/>
              </w:rPr>
              <w:t>, live mode only. One consolidation = company total.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4.8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Non-card methods (ACH / invoice) present? Settlement lag / banking pairing needed?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Mostly card; ~20% ACH / invoice for mid-market. Settlement lag accepted in cash forecast defaults; no special banking pairing required Day 1.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4.9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Live-only data confirmed (exclude test / sandbox)?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Yes — live only.</w:t>
            </w:r>
            <w:r>
              <w:rPr>
                <w:rFonts w:ascii="Calibri" w:hAnsi="Calibri"/>
                <w:sz w:val="18"/>
              </w:rPr>
              <w:t xml:space="preserve"> Sandbox never used for reporting. Expect Stripe </w:t>
            </w:r>
            <w:r>
              <w:rPr>
                <w:rFonts w:ascii="Calibri" w:hAnsi="Calibri"/>
                <w:sz w:val="18"/>
              </w:rPr>
              <w:t>livemode</w:t>
            </w:r>
            <w:r>
              <w:rPr>
                <w:rFonts w:ascii="Calibri" w:hAnsi="Calibri"/>
                <w:sz w:val="18"/>
              </w:rPr>
              <w:t xml:space="preserve"> filter.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4.10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Reactivation vs New Business dormancy window?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Accept SCBM default 90 days.</w:t>
            </w:r>
            <w:r>
              <w:rPr>
                <w:rFonts w:ascii="Calibri" w:hAnsi="Calibri"/>
                <w:sz w:val="18"/>
              </w:rPr>
              <w:t xml:space="preserve"> Return within 90 days = reactivation; after 90 = new logo.</w:t>
            </w:r>
          </w:p>
        </w:tc>
      </w:tr>
    </w:tbl>
    <w:p/>
    <w:p>
      <w:pPr>
        <w:spacing w:before="80" w:after="80"/>
        <w:pBdr>
          <w:bottom w:val="single" w:sz="6" w:space="1" w:color="C5CCD6"/>
        </w:pBdr>
      </w:pPr>
    </w:p>
    <w:p>
      <w:pPr>
        <w:pStyle w:val="Heading2"/>
      </w:pPr>
      <w:r>
        <w:t xml:space="preserve">5. Business policies </w:t>
      </w:r>
      <w:r>
        <w:rPr>
          <w:i/>
        </w:rPr>
        <w:t>(CEP)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0B8C4"/>
          <w:left w:val="single" w:sz="4" w:space="0" w:color="B0B8C4"/>
          <w:bottom w:val="single" w:sz="4" w:space="0" w:color="B0B8C4"/>
          <w:right w:val="single" w:sz="4" w:space="0" w:color="B0B8C4"/>
          <w:insideH w:val="single" w:sz="4" w:space="0" w:color="B0B8C4"/>
          <w:insideV w:val="single" w:sz="4" w:space="0" w:color="B0B8C4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3264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Policy</w:t>
            </w:r>
          </w:p>
        </w:tc>
        <w:tc>
          <w:tcPr>
            <w:tcW w:type="dxa" w:w="3264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Decision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5.1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Revenue recognition approach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ASC 606 ratable over subscription term. Monthly books close on QuickBooks; deferred revenue rolled by Controller.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5.2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ARR methodology</w:t>
            </w:r>
            <w:r>
              <w:rPr>
                <w:rFonts w:ascii="Calibri" w:hAnsi="Calibri"/>
                <w:sz w:val="18"/>
              </w:rPr>
              <w:t xml:space="preserve"> (how annual recurring revenue is calculated)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Annualize recurring Stripe subscription amount: monthly × 12; annual contracts at contract ARR. No usage component. Point-in-time ending ARR each month-end.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5.3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Usage-based billing — exists? how treated in reporting?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Does not exist.</w:t>
            </w:r>
            <w:r>
              <w:rPr>
                <w:rFonts w:ascii="Calibri" w:hAnsi="Calibri"/>
                <w:sz w:val="18"/>
              </w:rPr>
              <w:t xml:space="preserve"> Aligns with gate 4.3 N/A.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5.4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Trial handling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14-day trials in Stripe; </w:t>
            </w:r>
            <w:r>
              <w:rPr>
                <w:rFonts w:ascii="Calibri" w:hAnsi="Calibri"/>
                <w:b/>
                <w:sz w:val="18"/>
              </w:rPr>
              <w:t>excluded from ARR</w:t>
            </w:r>
            <w:r>
              <w:rPr>
                <w:rFonts w:ascii="Calibri" w:hAnsi="Calibri"/>
                <w:sz w:val="18"/>
              </w:rPr>
              <w:t xml:space="preserve"> until converted to active paid. Aligns with 4.1.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5.5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Renewal treatment (vs new bookings)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Auto-renew default. Renewal of same ARR = renewal movement; uplift at renewal = expansion. New logo only for new customer IDs.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5.6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Cancellation policy (impact on churn / ARR)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ARR removed at effective cancel / period end (not at notice date). Mid-term cancels rare; when they happen, ARR drops on cancel effective date.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5.7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Contractor policy (included in headcount metrics?)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Exclude contractors</w:t>
            </w:r>
            <w:r>
              <w:rPr>
                <w:rFonts w:ascii="Calibri" w:hAnsi="Calibri"/>
                <w:sz w:val="18"/>
              </w:rPr>
              <w:t xml:space="preserve"> from HC / FTE metrics Day 1. Contractor spend stays in opex (GL), not HC.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5.8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Department ownership rules (cost / spend attribution)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Departments: GTM, Product Eng, G&amp;A, CS. Owner = department head; finance maps QBO classes → departments.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5.9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Cost center ownership rules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QBO Classes ≈ cost centers; one primary class per employee in Rippling.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5.10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Multi-entity reporting rollup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N/A — single entity.</w:t>
            </w:r>
          </w:p>
        </w:tc>
      </w:tr>
    </w:tbl>
    <w:p/>
    <w:p>
      <w:pPr>
        <w:pStyle w:val="Heading3"/>
      </w:pPr>
      <w:r>
        <w:t xml:space="preserve">System of authority </w:t>
      </w:r>
      <w:r>
        <w:rPr>
          <w:i/>
        </w:rPr>
        <w:t>(CEP)</w:t>
      </w:r>
    </w:p>
    <w:p>
      <w:r>
        <w:t>Which connected system is authoritative for each: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0B8C4"/>
          <w:left w:val="single" w:sz="4" w:space="0" w:color="B0B8C4"/>
          <w:bottom w:val="single" w:sz="4" w:space="0" w:color="B0B8C4"/>
          <w:right w:val="single" w:sz="4" w:space="0" w:color="B0B8C4"/>
          <w:insideH w:val="single" w:sz="4" w:space="0" w:color="B0B8C4"/>
          <w:insideV w:val="single" w:sz="4" w:space="0" w:color="B0B8C4"/>
        </w:tblBorders>
      </w:tblPr>
      <w:tblGrid>
        <w:gridCol w:w="4896"/>
        <w:gridCol w:w="4896"/>
      </w:tblGrid>
      <w:tr>
        <w:tc>
          <w:tcPr>
            <w:tcW w:type="dxa" w:w="4896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Concept</w:t>
            </w:r>
          </w:p>
        </w:tc>
        <w:tc>
          <w:tcPr>
            <w:tcW w:type="dxa" w:w="4896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System of record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Customer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HubSpot (company) ↔ Stripe customer (billing id); Stripe wins for “paying customer”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Product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Stripe Products / Prices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Employee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Rippling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Department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Rippling + QBO Class mapping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Cost Center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QuickBooks Online Class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Opportunity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HubSpot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Subscription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Stripe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Invoice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Stripe (billing); QBO for accounting invoices / AR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Revenue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QuickBooks Online (recognized); Stripe for ARR/MRR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Headcount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Rippling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Compensation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Rippling</w:t>
            </w:r>
          </w:p>
        </w:tc>
      </w:tr>
    </w:tbl>
    <w:p/>
    <w:p>
      <w:pPr>
        <w:spacing w:before="80" w:after="80"/>
        <w:pBdr>
          <w:bottom w:val="single" w:sz="6" w:space="1" w:color="C5CCD6"/>
        </w:pBdr>
      </w:pPr>
    </w:p>
    <w:p>
      <w:pPr>
        <w:pStyle w:val="Heading2"/>
      </w:pPr>
      <w:r>
        <w:t xml:space="preserve">6. Forecasting methodology </w:t>
      </w:r>
      <w:r>
        <w:rPr>
          <w:i/>
        </w:rPr>
        <w:t>(Recommended — not formal CEP)</w:t>
      </w:r>
    </w:p>
    <w:p>
      <w:pPr>
        <w:ind w:left="360"/>
        <w:pBdr>
          <w:left w:val="single" w:sz="18" w:space="8" w:color="94A3B8"/>
        </w:pBdr>
      </w:pPr>
      <w:r>
        <w:rPr>
          <w:b/>
          <w:i/>
        </w:rPr>
        <w:t>Recommended addition.</w:t>
      </w:r>
      <w:r>
        <w:rPr>
          <w:i/>
        </w:rPr>
        <w:t xml:space="preserve"> CEP lists Cash Forecasting / Scenario Planning as desired modules only. There is no dedicated forecast-driver interview in CEP v1.0. Questions below are reconstructed from </w:t>
      </w:r>
      <w:r>
        <w:rPr>
          <w:rFonts w:ascii="Consolas" w:hAnsi="Consolas"/>
          <w:i/>
          <w:sz w:val="18"/>
        </w:rPr>
        <w:t>docs/Forecasting_Assumptions.md</w:t>
      </w:r>
      <w:r>
        <w:rPr>
          <w:i/>
        </w:rPr>
        <w:t xml:space="preserve"> and related methodology docs for call use — do not present them as frozen CEP fields.</w:t>
      </w:r>
    </w:p>
    <w:p>
      <w:pPr>
        <w:pStyle w:val="Heading3"/>
      </w:pPr>
      <w:r>
        <w:t>How they forecast today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0B8C4"/>
          <w:left w:val="single" w:sz="4" w:space="0" w:color="B0B8C4"/>
          <w:bottom w:val="single" w:sz="4" w:space="0" w:color="B0B8C4"/>
          <w:right w:val="single" w:sz="4" w:space="0" w:color="B0B8C4"/>
          <w:insideH w:val="single" w:sz="4" w:space="0" w:color="B0B8C4"/>
          <w:insideV w:val="single" w:sz="4" w:space="0" w:color="B0B8C4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3264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Question</w:t>
            </w:r>
          </w:p>
        </w:tc>
        <w:tc>
          <w:tcPr>
            <w:tcW w:type="dxa" w:w="3264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Answer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6.1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Who owns Forecast vs Budget vs Actual?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Budget:</w:t>
            </w:r>
            <w:r>
              <w:rPr>
                <w:rFonts w:ascii="Calibri" w:hAnsi="Calibri"/>
                <w:sz w:val="18"/>
              </w:rPr>
              <w:t xml:space="preserve"> Priya (annual board). </w:t>
            </w:r>
            <w:r>
              <w:rPr>
                <w:rFonts w:ascii="Calibri" w:hAnsi="Calibri"/>
                <w:b/>
                <w:sz w:val="18"/>
              </w:rPr>
              <w:t>Forecast:</w:t>
            </w:r>
            <w:r>
              <w:rPr>
                <w:rFonts w:ascii="Calibri" w:hAnsi="Calibri"/>
                <w:sz w:val="18"/>
              </w:rPr>
              <w:t xml:space="preserve"> Priya + Jordan (monthly reforecast). </w:t>
            </w:r>
            <w:r>
              <w:rPr>
                <w:rFonts w:ascii="Calibri" w:hAnsi="Calibri"/>
                <w:b/>
                <w:sz w:val="18"/>
              </w:rPr>
              <w:t>Actual:</w:t>
            </w:r>
            <w:r>
              <w:rPr>
                <w:rFonts w:ascii="Calibri" w:hAnsi="Calibri"/>
                <w:sz w:val="18"/>
              </w:rPr>
              <w:t xml:space="preserve"> Alex (Controller) certifies close.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6.2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Combined cutover date (when Actual ends and Forecast begins)?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Month-end after books close (target BD+5). e.g. after Feb close certified, Forecast begins Mar 1.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6.3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Method today: driver-based, spreadsheet judgment, CRM pipeline-weighted, or mix?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Budget + judgment.</w:t>
            </w:r>
            <w:r>
              <w:rPr>
                <w:rFonts w:ascii="Calibri" w:hAnsi="Calibri"/>
                <w:sz w:val="18"/>
              </w:rPr>
              <w:t xml:space="preserve"> Annual budget in Sheets; monthly forecast = budget ± judgment using HubSpot pipeline as a check, not a mechanical model.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6.4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Which scenarios do you need (Forecast / Budget / Upside / Downside)?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Day 1: </w:t>
            </w:r>
            <w:r>
              <w:rPr>
                <w:rFonts w:ascii="Calibri" w:hAnsi="Calibri"/>
                <w:b/>
                <w:sz w:val="18"/>
              </w:rPr>
              <w:t>Forecast</w:t>
            </w:r>
            <w:r>
              <w:rPr>
                <w:rFonts w:ascii="Calibri" w:hAnsi="Calibri"/>
                <w:sz w:val="18"/>
              </w:rPr>
              <w:t xml:space="preserve"> and </w:t>
            </w:r>
            <w:r>
              <w:rPr>
                <w:rFonts w:ascii="Calibri" w:hAnsi="Calibri"/>
                <w:b/>
                <w:sz w:val="18"/>
              </w:rPr>
              <w:t>Budget</w:t>
            </w:r>
            <w:r>
              <w:rPr>
                <w:rFonts w:ascii="Calibri" w:hAnsi="Calibri"/>
                <w:sz w:val="18"/>
              </w:rPr>
              <w:t xml:space="preserve"> only. Upside/Downside Phase 2.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6.5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How often do you refresh? What happens after close (Actual ending → next Forecast beginning)?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Refresh monthly after close. Actual locks; next month Forecast starts from certified ending ARR, cash, HC.</w:t>
            </w:r>
          </w:p>
        </w:tc>
      </w:tr>
    </w:tbl>
    <w:p/>
    <w:p>
      <w:pPr>
        <w:pStyle w:val="Heading3"/>
      </w:pPr>
      <w:r>
        <w:t>Drivers to confirm (map to platform assumptions)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0B8C4"/>
          <w:left w:val="single" w:sz="4" w:space="0" w:color="B0B8C4"/>
          <w:bottom w:val="single" w:sz="4" w:space="0" w:color="B0B8C4"/>
          <w:right w:val="single" w:sz="4" w:space="0" w:color="B0B8C4"/>
          <w:insideH w:val="single" w:sz="4" w:space="0" w:color="B0B8C4"/>
          <w:insideV w:val="single" w:sz="4" w:space="0" w:color="B0B8C4"/>
        </w:tblBorders>
      </w:tblPr>
      <w:tblGrid>
        <w:gridCol w:w="4896"/>
        <w:gridCol w:w="4896"/>
      </w:tblGrid>
      <w:tr>
        <w:tc>
          <w:tcPr>
            <w:tcW w:type="dxa" w:w="4896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Area</w:t>
            </w:r>
          </w:p>
        </w:tc>
        <w:tc>
          <w:tcPr>
            <w:tcW w:type="dxa" w:w="4896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Drivers confirmed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Revenue / subscriptions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New logo ARR growth ~$150–200k/mo; expansion ~8% of starting ARR/quarter; gross churn target ~1.2%/mo; NRR ~110%; typical term </w:t>
            </w:r>
            <w:r>
              <w:rPr>
                <w:rFonts w:ascii="Calibri" w:hAnsi="Calibri"/>
                <w:b/>
                <w:sz w:val="18"/>
              </w:rPr>
              <w:t>12 months</w:t>
            </w:r>
            <w:r>
              <w:rPr>
                <w:rFonts w:ascii="Calibri" w:hAnsi="Calibri"/>
                <w:sz w:val="18"/>
              </w:rPr>
              <w:t>; little ramp (recognize ratably from start).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Pipeline / bookings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Stage win rates maintained in HubSpot; ASP ~$18k ACV mid-market; sales cycle ~45–60 days; pipeline coverage target 3×; closed-won ↔ Stripe new ARR recon by RevOps monthly.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Billings / rev rec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Mostly annual prepaid; PS &lt;5% — exclude from ARR drivers.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Cash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DSO ~25 days (card-heavy); DPO ~30; min cash balance board target $4M.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Headcount / opex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Hiring plan by dept in annual budget; attrition ~12% annual; fully loaded cost from Rippling + burden %.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Marketing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Funnel used directionally; CAC payback tracked in Sheets — nice-to-have in SMPL, not blocking.</w:t>
            </w:r>
          </w:p>
        </w:tc>
      </w:tr>
    </w:tbl>
    <w:p/>
    <w:p>
      <w:pPr>
        <w:spacing w:before="80" w:after="80"/>
        <w:pBdr>
          <w:bottom w:val="single" w:sz="6" w:space="1" w:color="C5CCD6"/>
        </w:pBdr>
      </w:pPr>
    </w:p>
    <w:p>
      <w:pPr>
        <w:pStyle w:val="Heading2"/>
      </w:pPr>
      <w:r>
        <w:t xml:space="preserve">7. Close / GL / data readiness </w:t>
      </w:r>
      <w:r>
        <w:rPr>
          <w:i/>
        </w:rPr>
        <w:t>(Recommended — not formal CEP)</w:t>
      </w:r>
    </w:p>
    <w:p>
      <w:pPr>
        <w:ind w:left="360"/>
        <w:pBdr>
          <w:left w:val="single" w:sz="18" w:space="8" w:color="94A3B8"/>
        </w:pBdr>
      </w:pPr>
      <w:r>
        <w:rPr>
          <w:b/>
          <w:i/>
        </w:rPr>
        <w:t>Recommended addition.</w:t>
      </w:r>
      <w:r>
        <w:rPr>
          <w:i/>
        </w:rPr>
        <w:t xml:space="preserve"> Reconstructed from close / GL / reporting methodology docs. Useful for implementation blockers; not listed as CEP fields in v1.0.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0B8C4"/>
          <w:left w:val="single" w:sz="4" w:space="0" w:color="B0B8C4"/>
          <w:bottom w:val="single" w:sz="4" w:space="0" w:color="B0B8C4"/>
          <w:right w:val="single" w:sz="4" w:space="0" w:color="B0B8C4"/>
          <w:insideH w:val="single" w:sz="4" w:space="0" w:color="B0B8C4"/>
          <w:insideV w:val="single" w:sz="4" w:space="0" w:color="B0B8C4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3264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Question</w:t>
            </w:r>
          </w:p>
        </w:tc>
        <w:tc>
          <w:tcPr>
            <w:tcW w:type="dxa" w:w="3264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Answer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7.1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Close calendar / SLA (e.g. business-day close)?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Soft close </w:t>
            </w:r>
            <w:r>
              <w:rPr>
                <w:rFonts w:ascii="Calibri" w:hAnsi="Calibri"/>
                <w:b/>
                <w:sz w:val="18"/>
              </w:rPr>
              <w:t>BD+3</w:t>
            </w:r>
            <w:r>
              <w:rPr>
                <w:rFonts w:ascii="Calibri" w:hAnsi="Calibri"/>
                <w:sz w:val="18"/>
              </w:rPr>
              <w:t xml:space="preserve">, hard close </w:t>
            </w:r>
            <w:r>
              <w:rPr>
                <w:rFonts w:ascii="Calibri" w:hAnsi="Calibri"/>
                <w:b/>
                <w:sz w:val="18"/>
              </w:rPr>
              <w:t>BD+5</w:t>
            </w:r>
            <w:r>
              <w:rPr>
                <w:rFonts w:ascii="Calibri" w:hAnsi="Calibri"/>
                <w:sz w:val="18"/>
              </w:rPr>
              <w:t>. Board pack BD+8.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7.2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First period of GL history available? Opening trial balance + ending retained earnings at cutoff?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QBO history from </w:t>
            </w:r>
            <w:r>
              <w:rPr>
                <w:rFonts w:ascii="Calibri" w:hAnsi="Calibri"/>
                <w:b/>
                <w:sz w:val="18"/>
              </w:rPr>
              <w:t>Jan 2023</w:t>
            </w:r>
            <w:r>
              <w:rPr>
                <w:rFonts w:ascii="Calibri" w:hAnsi="Calibri"/>
                <w:sz w:val="18"/>
              </w:rPr>
              <w:t>. Will provide TB + ending RE at SMPL cutoff month (implementation kickoff month-end). Simple single-entity — no RE_BASE complexity expected.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7.3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Chart of accounts → management reporting lines / EBITDA mapping?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Yes — existing board P&amp;L mapping in Sheets (QBO accounts → Revenue, COGS, S&amp;M, R&amp;D, G&amp;A, EBITDA). Will share workbook.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7.4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Multi-entity structure? Dept vs cost center mapping ready?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Single entity. Dept ↔ QBO Class mapping documented by Controller (1-pager).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7.5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Validation sources for ending ARR, revenue, headcount (what do you tie to today)?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ARR: Stripe Dashboard + RevOps workbook. Revenue: QBO P&amp;L. HC: Rippling headcount report.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7.6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Who certifies Actual each month (Accounting / FP&amp;A / RevOps)?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Alex Chen (Controller)</w:t>
            </w:r>
            <w:r>
              <w:rPr>
                <w:rFonts w:ascii="Calibri" w:hAnsi="Calibri"/>
                <w:sz w:val="18"/>
              </w:rPr>
              <w:t xml:space="preserve"> certifies Actual; Priya signs off Forecast; Jordan signs ARR tie-out.</w:t>
            </w:r>
          </w:p>
        </w:tc>
      </w:tr>
    </w:tbl>
    <w:p/>
    <w:p>
      <w:pPr>
        <w:spacing w:before="80" w:after="80"/>
        <w:pBdr>
          <w:bottom w:val="single" w:sz="6" w:space="1" w:color="C5CCD6"/>
        </w:pBdr>
      </w:pPr>
    </w:p>
    <w:p>
      <w:pPr>
        <w:pStyle w:val="Heading2"/>
      </w:pPr>
      <w:r>
        <w:t xml:space="preserve">8. Desired modules </w:t>
      </w:r>
      <w:r>
        <w:rPr>
          <w:i/>
        </w:rPr>
        <w:t>(CEP)</w:t>
      </w:r>
    </w:p>
    <w:p>
      <w:r>
        <w:t>Select for implementation roadmap: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0B8C4"/>
          <w:left w:val="single" w:sz="4" w:space="0" w:color="B0B8C4"/>
          <w:bottom w:val="single" w:sz="4" w:space="0" w:color="B0B8C4"/>
          <w:right w:val="single" w:sz="4" w:space="0" w:color="B0B8C4"/>
          <w:insideH w:val="single" w:sz="4" w:space="0" w:color="B0B8C4"/>
          <w:insideV w:val="single" w:sz="4" w:space="0" w:color="B0B8C4"/>
        </w:tblBorders>
      </w:tblPr>
      <w:tblGrid>
        <w:gridCol w:w="4896"/>
        <w:gridCol w:w="4896"/>
      </w:tblGrid>
      <w:tr>
        <w:tc>
          <w:tcPr>
            <w:tcW w:type="dxa" w:w="4896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Module</w:t>
            </w:r>
          </w:p>
        </w:tc>
        <w:tc>
          <w:tcPr>
            <w:tcW w:type="dxa" w:w="4896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Include? (Y/N / Phase 2)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Financial Reporting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Y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Board Reporting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Y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Executive Dashboards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Y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Cash Forecasting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Y</w:t>
            </w:r>
            <w:r>
              <w:rPr>
                <w:rFonts w:ascii="Calibri" w:hAnsi="Calibri"/>
                <w:sz w:val="18"/>
              </w:rPr>
              <w:t xml:space="preserve"> (simple)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ARR Reporting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Y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MRR Reporting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Y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Pipeline Analytics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Y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Workforce Planning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Phase 2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Scenario Planning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Phase 2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Executive Commentary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Phase 2</w:t>
            </w:r>
          </w:p>
        </w:tc>
      </w:tr>
    </w:tbl>
    <w:p/>
    <w:p>
      <w:pPr>
        <w:spacing w:before="80" w:after="80"/>
        <w:pBdr>
          <w:bottom w:val="single" w:sz="6" w:space="1" w:color="C5CCD6"/>
        </w:pBdr>
      </w:pPr>
    </w:p>
    <w:p>
      <w:pPr>
        <w:pStyle w:val="Heading2"/>
      </w:pPr>
      <w:r>
        <w:t xml:space="preserve">9. Optional — CRM stages / headcount </w:t>
      </w:r>
      <w:r>
        <w:rPr>
          <w:i/>
        </w:rPr>
        <w:t>(Gate examples from GPES)</w:t>
      </w:r>
    </w:p>
    <w:p>
      <w:r>
        <w:t>Ask only if CRM or HRIS is in scope and ambiguity appears after (or before) connect.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0B8C4"/>
          <w:left w:val="single" w:sz="4" w:space="0" w:color="B0B8C4"/>
          <w:bottom w:val="single" w:sz="4" w:space="0" w:color="B0B8C4"/>
          <w:right w:val="single" w:sz="4" w:space="0" w:color="B0B8C4"/>
          <w:insideH w:val="single" w:sz="4" w:space="0" w:color="B0B8C4"/>
          <w:insideV w:val="single" w:sz="4" w:space="0" w:color="B0B8C4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3264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Question</w:t>
            </w:r>
          </w:p>
        </w:tc>
        <w:tc>
          <w:tcPr>
            <w:tcW w:type="dxa" w:w="3264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Answer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9.1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For any ambiguous CRM stage: does it mean Proposal vs Negotiate (or equivalent)?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HubSpot </w:t>
            </w:r>
            <w:r>
              <w:rPr>
                <w:rFonts w:ascii="Calibri" w:hAnsi="Calibri"/>
                <w:b/>
                <w:sz w:val="18"/>
              </w:rPr>
              <w:t>Contract Sent</w:t>
            </w:r>
            <w:r>
              <w:rPr>
                <w:rFonts w:ascii="Calibri" w:hAnsi="Calibri"/>
                <w:sz w:val="18"/>
              </w:rPr>
              <w:t xml:space="preserve"> = Proposal (late stage). </w:t>
            </w:r>
            <w:r>
              <w:rPr>
                <w:rFonts w:ascii="Calibri" w:hAnsi="Calibri"/>
                <w:b/>
                <w:sz w:val="18"/>
              </w:rPr>
              <w:t>Negotiation</w:t>
            </w:r>
            <w:r>
              <w:rPr>
                <w:rFonts w:ascii="Calibri" w:hAnsi="Calibri"/>
                <w:sz w:val="18"/>
              </w:rPr>
              <w:t xml:space="preserve"> is a separate stage after Contract Sent. No custom ambiguity beyond that.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9.2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Which employment statuses count as active headcount — Active only, or Active + Leave of Absence?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Active only</w:t>
            </w:r>
            <w:r>
              <w:rPr>
                <w:rFonts w:ascii="Calibri" w:hAnsi="Calibri"/>
                <w:sz w:val="18"/>
              </w:rPr>
              <w:t xml:space="preserve"> Day 1. LOA excluded from HC metrics.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9.3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Should contractors be included in headcount?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No</w:t>
            </w:r>
            <w:r>
              <w:rPr>
                <w:rFonts w:ascii="Calibri" w:hAnsi="Calibri"/>
                <w:sz w:val="18"/>
              </w:rPr>
              <w:t xml:space="preserve"> (aligns with 5.7).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9.4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Allocate employee costs to GL cost centers for Department Expense Forecasting?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Yes when Workforce / dept expense forecasting turns on — </w:t>
            </w:r>
            <w:r>
              <w:rPr>
                <w:rFonts w:ascii="Calibri" w:hAnsi="Calibri"/>
                <w:b/>
                <w:sz w:val="18"/>
              </w:rPr>
              <w:t>Phase 2</w:t>
            </w:r>
            <w:r>
              <w:rPr>
                <w:rFonts w:ascii="Calibri" w:hAnsi="Calibri"/>
                <w:sz w:val="18"/>
              </w:rPr>
              <w:t>. Rippling dept → QBO Class already mapped.</w:t>
            </w:r>
          </w:p>
        </w:tc>
      </w:tr>
    </w:tbl>
    <w:p/>
    <w:p>
      <w:pPr>
        <w:spacing w:before="80" w:after="80"/>
        <w:pBdr>
          <w:bottom w:val="single" w:sz="6" w:space="1" w:color="C5CCD6"/>
        </w:pBdr>
      </w:pPr>
    </w:p>
    <w:p>
      <w:pPr>
        <w:pStyle w:val="Heading2"/>
      </w:pPr>
      <w:r>
        <w:t>Call-time shortlist (~15 min) — how this sample maps</w:t>
      </w:r>
    </w:p>
    <w:p>
      <w:r>
        <w:rPr>
          <w:b/>
        </w:rPr>
        <w:t>Must cover (CEP + gates):</w:t>
      </w:r>
      <w:r>
        <w:t xml:space="preserve"> Covered: single-entity USD snapshot → Stripe/HubSpot/QBO/Rippling owners → one ARR/MRR/churn set → trials &amp; past_due excluded → no usage → simple ARR methodology → rev-rec &amp; renewal/cancel → SoA → modules → FYE Dec 31.</w:t>
      </w:r>
    </w:p>
    <w:p>
      <w:r>
        <w:rPr>
          <w:b/>
        </w:rPr>
        <w:t>Should cover if time:</w:t>
      </w:r>
      <w:r>
        <w:t xml:space="preserve"> Pipeline stages clear; contractors out of HC; single Stripe live account.</w:t>
      </w:r>
    </w:p>
    <w:p>
      <w:r>
        <w:rPr>
          <w:b/>
        </w:rPr>
        <w:t>Recommended extras (label clearly):</w:t>
      </w:r>
      <w:r>
        <w:t xml:space="preserve"> Forecast = Budget + judgment; monthly refresh after BD+5 close; simple GL history from 2023.</w:t>
      </w:r>
    </w:p>
    <w:p>
      <w:pPr>
        <w:spacing w:before="80" w:after="80"/>
        <w:pBdr>
          <w:bottom w:val="single" w:sz="6" w:space="1" w:color="C5CCD6"/>
        </w:pBdr>
      </w:pPr>
    </w:p>
    <w:p>
      <w:pPr>
        <w:pStyle w:val="Heading2"/>
      </w:pPr>
      <w:r>
        <w:t>Source map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0B8C4"/>
          <w:left w:val="single" w:sz="4" w:space="0" w:color="B0B8C4"/>
          <w:bottom w:val="single" w:sz="4" w:space="0" w:color="B0B8C4"/>
          <w:right w:val="single" w:sz="4" w:space="0" w:color="B0B8C4"/>
          <w:insideH w:val="single" w:sz="4" w:space="0" w:color="B0B8C4"/>
          <w:insideV w:val="single" w:sz="4" w:space="0" w:color="B0B8C4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Content</w:t>
            </w:r>
          </w:p>
        </w:tc>
        <w:tc>
          <w:tcPr>
            <w:tcW w:type="dxa" w:w="3264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Source</w:t>
            </w:r>
          </w:p>
        </w:tc>
        <w:tc>
          <w:tcPr>
            <w:tcW w:type="dxa" w:w="3264"/>
            <w:shd w:fill="EEF2F7" w:val="clear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Status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Sections 1–3, 5, 8, SoA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backend/tmp/impl-docs/CEP_v1.0.txt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Formal CEP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Section 4 ARR gates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backend/tmp/impl-docs/phase3/SMPL_GPES_001_SaaS_Golden_Path_v1.1.txt</w:t>
            </w:r>
            <w:r>
              <w:rPr>
                <w:rFonts w:ascii="Calibri" w:hAnsi="Calibri"/>
                <w:sz w:val="18"/>
              </w:rPr>
              <w:t xml:space="preserve"> + </w:t>
            </w:r>
            <w:r>
              <w:rPr>
                <w:rFonts w:ascii="Calibri" w:hAnsi="Calibri"/>
                <w:sz w:val="18"/>
              </w:rPr>
              <w:t>backend/tmp/impl-docs/SMPL_CKR_Billing_Registry_v0.2.txt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Formal gate / CKR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Section 6 Forecasting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docs/Forecasting_Assumptions.md</w:t>
            </w:r>
            <w:r>
              <w:rPr>
                <w:rFonts w:ascii="Calibri" w:hAnsi="Calibri"/>
                <w:sz w:val="18"/>
              </w:rPr>
              <w:t xml:space="preserve"> (+ reporting methodology)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Recommended — not CEP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Section 7 Close / GL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docs/Close_Process.md</w:t>
            </w:r>
            <w:r>
              <w:rPr>
                <w:rFonts w:ascii="Calibri" w:hAnsi="Calibri"/>
                <w:sz w:val="18"/>
              </w:rPr>
              <w:t>, close/GL readiness materials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Recommended — not CEP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Section 9 CRM / HC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GPES HubSpot + Rippling gate examples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Documented examples</w:t>
            </w:r>
          </w:p>
        </w:tc>
      </w:tr>
    </w:tbl>
    <w:p/>
    <w:p>
      <w:pPr>
        <w:spacing w:before="80" w:after="80"/>
        <w:pBdr>
          <w:bottom w:val="single" w:sz="6" w:space="1" w:color="C5CCD6"/>
        </w:pBdr>
      </w:pPr>
    </w:p>
    <w:p>
      <w:r>
        <w:rPr>
          <w:i/>
        </w:rPr>
        <w:t>SAMPLE — fictional customer for illustration. CEP remains the evolving implementation record after systems connect.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293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29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