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1F33"/>
          <w:sz w:val="44"/>
        </w:rPr>
        <w:t>SMPL.ai Technical Description</w:t>
      </w:r>
    </w:p>
    <w:p>
      <w:r>
        <w:rPr>
          <w:rFonts w:ascii="Calibri" w:hAnsi="Calibri"/>
          <w:i/>
          <w:color w:val="3A4F63"/>
          <w:sz w:val="24"/>
        </w:rPr>
        <w:t>A technical description of the architecture, calculation engine, data-quality controls, and governance model behind the SMPL.ai Financial Intelligence Platform</w:t>
      </w:r>
    </w:p>
    <w:tbl>
      <w:tblPr>
        <w:tblStyle w:val="TableGrid"/>
        <w:tblW w:type="auto" w:w="0"/>
        <w:tblLook w:firstColumn="1" w:firstRow="1" w:lastColumn="0" w:lastRow="0" w:noHBand="0" w:noVBand="1" w:val="04A0"/>
      </w:tblPr>
      <w:tblGrid>
        <w:gridCol w:w="4680"/>
        <w:gridCol w:w="4680"/>
      </w:tblGrid>
      <w:tr>
        <w:tc>
          <w:tcPr>
            <w:tcW w:type="dxa" w:w="4680"/>
          </w:tcPr>
          <w:p>
            <w:r/>
            <w:r>
              <w:rPr>
                <w:b/>
                <w:sz w:val="20"/>
              </w:rPr>
              <w:t>About This White Paper</w:t>
            </w:r>
          </w:p>
          <w:p>
            <w:r>
              <w:rPr>
                <w:sz w:val="18"/>
              </w:rPr>
              <w:t>This paper summarizes the technical attributes of the SMPL.ai platform for technical evaluators, systems and data teams, and technical due diligence. It assumes familiarity with SaaS finance concepts (see the glossary) and focuses on how the platform is built, not why a business should adopt it; for that context, see the SMPL.ai executive summary. The sections that follow correspond to four core principles: a canonical model, deterministic calculation, transparent evidence, and governed close — including the data-quality gates that keep garbage-in from becoming board-out.</w:t>
            </w:r>
          </w:p>
        </w:tc>
        <w:tc>
          <w:tcPr>
            <w:tcW w:type="dxa" w:w="4680"/>
          </w:tcPr>
          <w:p>
            <w:r/>
            <w:r>
              <w:rPr>
                <w:b/>
                <w:sz w:val="20"/>
              </w:rPr>
              <w:t>Build Status</w:t>
            </w:r>
          </w:p>
          <w:p>
            <w:r>
              <w:rPr>
                <w:sz w:val="18"/>
              </w:rPr>
              <w:t>Platform design — every data connection, calculation, and control described in this document — is complete. Engineering is executing a deliberately phased build: proving the platform end to end against a company's core financial reporting first, then expanding breadth across the rest of finance. Where a capability is still in build rather than live, that is noted in the Implementation section; everything else describes the design as specified, which is the standard the finished platform is held to.</w:t>
            </w:r>
          </w:p>
        </w:tc>
      </w:tr>
    </w:tbl>
    <w:p/>
    <w:p>
      <w:pPr>
        <w:pStyle w:val="Heading1"/>
      </w:pPr>
      <w:r>
        <w:t>Introduction</w:t>
      </w:r>
    </w:p>
    <w:p>
      <w:pPr>
        <w:spacing w:after="160"/>
      </w:pPr>
      <w:r>
        <w:rPr>
          <w:rFonts w:ascii="Calibri" w:hAnsi="Calibri"/>
          <w:sz w:val="22"/>
        </w:rPr>
        <w:t>A mid-size SaaS company can generate hundreds of thousands of transaction rows a month — well beyond what spreadsheets were built to analyze — spread across an accounting system, a CRM, HR and billing platforms, and countless files. Finance teams manually assemble this data into reports every close, and the same metric often differs from one system to the next. The workflows have not scaled with the data, so quality drifts down as reporting demands go up.</w:t>
      </w:r>
    </w:p>
    <w:p>
      <w:pPr>
        <w:spacing w:after="160"/>
      </w:pPr>
      <w:r>
        <w:rPr>
          <w:rFonts w:ascii="Calibri" w:hAnsi="Calibri"/>
          <w:sz w:val="22"/>
        </w:rPr>
        <w:t>When quality drifts, the failure mode is predictable: the board package still ships, the narrative still sounds confident, and the platform gets blamed for numbers that were never fit for purpose. SMPL.ai treats that as an architecture problem, not a training problem. Trusted reporting requires a canonical model, deterministic calculation, evidenced narrative — and an explicit validation layer that classifies incomplete or inconsistent source data before a period can be frozen for executive use.</w:t>
      </w:r>
    </w:p>
    <w:p>
      <w:pPr>
        <w:pStyle w:val="Heading1"/>
      </w:pPr>
      <w:r>
        <w:t>Objective</w:t>
      </w:r>
    </w:p>
    <w:p>
      <w:pPr>
        <w:spacing w:after="160"/>
      </w:pPr>
      <w:r>
        <w:rPr>
          <w:rFonts w:ascii="Calibri" w:hAnsi="Calibri"/>
          <w:sz w:val="22"/>
        </w:rPr>
        <w:t>This paper describes the architecture, calculation engine, data-quality model, and governance model behind the SMPL.ai Financial Intelligence Platform: how data from source systems is normalized into a canonical model; how ingestion contracts and validation gates prevent untrusted inputs from becoming board truth; how calculations are made deterministic and traceable; and how reporting periods are governed without rewriting history.</w:t>
      </w:r>
    </w:p>
    <w:p>
      <w:pPr>
        <w:pStyle w:val="Heading1"/>
      </w:pPr>
      <w:r>
        <w:t>Summary</w:t>
      </w:r>
    </w:p>
    <w:p>
      <w:pPr>
        <w:spacing w:after="160"/>
      </w:pPr>
      <w:r>
        <w:rPr>
          <w:rFonts w:ascii="Calibri" w:hAnsi="Calibri"/>
          <w:sz w:val="22"/>
        </w:rPr>
        <w:t>SMPL.ai has been designed to give SaaS finance teams a single, trusted, connected view of the business — executive-ready reporting produced after close, with every number traceable to its source records, every result reproducible exactly, and every close period gated by measurable data-quality and financial-integrity checks. Downstream artifacts — board decks, MD&amp;A packages, and AI commentary — consume a frozen, certified close context rather than a live, silently changing warehouse.</w:t>
      </w:r>
    </w:p>
    <w:p>
      <w:pPr>
        <w:pStyle w:val="Heading1"/>
      </w:pPr>
      <w:r>
        <w:t>Basic System Architecture and Use</w:t>
      </w:r>
    </w:p>
    <w:p>
      <w:pPr>
        <w:spacing w:after="160"/>
      </w:pPr>
      <w:r>
        <w:rPr>
          <w:rFonts w:ascii="Calibri" w:hAnsi="Calibri"/>
          <w:sz w:val="22"/>
        </w:rPr>
        <w:t>SMPL.ai is a browser-based platform comprised of five main components:</w:t>
      </w:r>
    </w:p>
    <w:p>
      <w:pPr>
        <w:pStyle w:val="ListBullet"/>
      </w:pPr>
      <w:r>
        <w:rPr>
          <w:rFonts w:ascii="Calibri" w:hAnsi="Calibri"/>
          <w:sz w:val="22"/>
        </w:rPr>
        <w:t>Source system connectors (accounting/GL, CRM, HRIS/payroll, billing)</w:t>
      </w:r>
    </w:p>
    <w:p>
      <w:pPr>
        <w:pStyle w:val="ListBullet"/>
      </w:pPr>
      <w:r>
        <w:rPr>
          <w:rFonts w:ascii="Calibri" w:hAnsi="Calibri"/>
          <w:sz w:val="22"/>
        </w:rPr>
        <w:t>A canonical data model</w:t>
      </w:r>
    </w:p>
    <w:p>
      <w:pPr>
        <w:pStyle w:val="ListBullet"/>
      </w:pPr>
      <w:r>
        <w:rPr>
          <w:rFonts w:ascii="Calibri" w:hAnsi="Calibri"/>
          <w:sz w:val="22"/>
        </w:rPr>
        <w:t>Validation and data-quality controls</w:t>
      </w:r>
    </w:p>
    <w:p>
      <w:pPr>
        <w:pStyle w:val="ListBullet"/>
      </w:pPr>
      <w:r>
        <w:rPr>
          <w:rFonts w:ascii="Calibri" w:hAnsi="Calibri"/>
          <w:sz w:val="22"/>
        </w:rPr>
        <w:t>The Financial Intelligence Engine</w:t>
      </w:r>
    </w:p>
    <w:p>
      <w:pPr>
        <w:pStyle w:val="ListBullet"/>
      </w:pPr>
      <w:r>
        <w:rPr>
          <w:rFonts w:ascii="Calibri" w:hAnsi="Calibri"/>
          <w:sz w:val="22"/>
        </w:rPr>
        <w:t>The reporting, evidence, and governance layer</w:t>
      </w:r>
    </w:p>
    <w:p>
      <w:pPr>
        <w:spacing w:after="160"/>
      </w:pPr>
      <w:r>
        <w:rPr>
          <w:rFonts w:ascii="Calibri" w:hAnsi="Calibri"/>
          <w:sz w:val="22"/>
        </w:rPr>
        <w:t>In typical use, data from each source system — GL entries, opportunities, payroll runs, invoices — is ingested and normalized into canonical objects: transactions, accounts, entities, periods, and the relationships between them. Validation evaluates that load against ingestion contracts and financial tie-outs before a period can lock and freeze. The Financial Intelligence Engine then executes the customer's own methodology configuration against the trusted model, and every downstream output — every metric, report, and board package — is derived from a frozen snapshot, retaining a pointer back to the source records that produced it. A more complete description of each component is given below.</w:t>
      </w:r>
    </w:p>
    <w:p>
      <w:pPr>
        <w:pStyle w:val="Heading1"/>
      </w:pPr>
      <w:r>
        <w:t>Canonical Data Model</w:t>
      </w:r>
    </w:p>
    <w:p>
      <w:pPr>
        <w:spacing w:after="160"/>
      </w:pPr>
      <w:r>
        <w:rPr>
          <w:rFonts w:ascii="Calibri" w:hAnsi="Calibri"/>
          <w:sz w:val="22"/>
        </w:rPr>
        <w:t>Data enters the canonical model from four categories of source system: the general ledger or accounting platform (NetSuite, Rillet, QuickBooks), the CRM (Salesforce, HubSpot), HRIS and payroll (Rippling, Workday), and billing and collections (Stripe, Maxio).</w:t>
      </w:r>
    </w:p>
    <w:p>
      <w:pPr>
        <w:spacing w:after="160"/>
      </w:pPr>
      <w:r>
        <w:rPr>
          <w:rFonts w:ascii="Calibri" w:hAnsi="Calibri"/>
          <w:sz w:val="22"/>
        </w:rPr>
        <w:t>Everything downstream is derived from this single, normalized representation of the company's financial and operational reality. This is the structural difference between SMPL.ai's traceability and a typical BI tool's drill-down: a BI tool lets a user click from a summary toward more granular numbers within the same system, while SMPL.ai's lineage runs through the canonical model to the original source record — the specific invoice, opportunity, or GL entry — regardless of which system it originated in.</w:t>
      </w:r>
    </w:p>
    <w:p>
      <w:pPr>
        <w:spacing w:after="160"/>
      </w:pPr>
      <w:r>
        <w:rPr>
          <w:rFonts w:ascii="Calibri" w:hAnsi="Calibri"/>
          <w:sz w:val="22"/>
        </w:rPr>
        <w:t>Canonical does not mean "whatever landed in the warehouse." It means the agreed, company-standard form of the facts after vendor-specific shapes have been normalized — periods as YYYY-MM, GL lines mapped into statement buckets, SaaS movements expressed in shared ARR primitives — so that dashboards, statements, and board slides speak one dialect.</w:t>
      </w:r>
    </w:p>
    <w:p>
      <w:pPr>
        <w:pStyle w:val="Heading1"/>
      </w:pPr>
      <w:r>
        <w:t>Validation and Data Quality</w:t>
      </w:r>
    </w:p>
    <w:p>
      <w:pPr>
        <w:spacing w:after="160"/>
      </w:pPr>
      <w:r>
        <w:rPr>
          <w:rFonts w:ascii="Calibri" w:hAnsi="Calibri"/>
          <w:sz w:val="22"/>
        </w:rPr>
        <w:t>Garbage in, garbage out is not a slogan in SMPL.ai; it is a product constraint. The platform assumes source systems will be incomplete, inconsistently labeled, and occasionally wrong. Validation exists so those defects are visible, classifiable, and owned before narrative and board packages are generated — not after a CFO finds them in a slide.</w:t>
      </w:r>
    </w:p>
    <w:p>
      <w:pPr>
        <w:pStyle w:val="Heading2"/>
      </w:pPr>
      <w:r>
        <w:t>Ingestion contracts</w:t>
      </w:r>
    </w:p>
    <w:p>
      <w:pPr>
        <w:spacing w:after="160"/>
      </w:pPr>
      <w:r>
        <w:rPr>
          <w:rFonts w:ascii="Calibri" w:hAnsi="Calibri"/>
          <w:sz w:val="22"/>
        </w:rPr>
        <w:t>Each ingestion point carries a contract: the fields and relationships required for SMPL.ai to compute board-grade metrics from that source. A row is bad when it fails a rule against that contract, not when it merely feels incomplete. Examples include opportunities missing close date or amount; GL entries missing period, account, or entity; subscription records missing customer identity or ARR amount; and unmapped accounts that cannot roll into the management P&amp;L.</w:t>
      </w:r>
    </w:p>
    <w:p>
      <w:pPr>
        <w:pStyle w:val="Heading2"/>
      </w:pPr>
      <w:r>
        <w:t>Classification and severity</w:t>
      </w:r>
    </w:p>
    <w:p>
      <w:pPr>
        <w:spacing w:after="160"/>
      </w:pPr>
      <w:r>
        <w:rPr>
          <w:rFonts w:ascii="Calibri" w:hAnsi="Calibri"/>
          <w:sz w:val="22"/>
        </w:rPr>
        <w:t>Findings are classified into a small, customer-readable taxonomy:</w:t>
      </w:r>
    </w:p>
    <w:p>
      <w:pPr>
        <w:pStyle w:val="ListBullet"/>
      </w:pPr>
      <w:r>
        <w:rPr>
          <w:rFonts w:ascii="Calibri" w:hAnsi="Calibri"/>
          <w:sz w:val="22"/>
        </w:rPr>
        <w:t>Blocking — the period cannot be trusted for freeze / executive reporting (for example, a material share of GL missing period, or ARR that cannot be tied to a customer).</w:t>
      </w:r>
    </w:p>
    <w:p>
      <w:pPr>
        <w:pStyle w:val="ListBullet"/>
      </w:pPr>
      <w:r>
        <w:rPr>
          <w:rFonts w:ascii="Calibri" w:hAnsi="Calibri"/>
          <w:sz w:val="22"/>
        </w:rPr>
        <w:t>Material warning — numbers may still compute, but the story is shaky (for example, opportunities missing segment, or a small share of unmapped accounts).</w:t>
      </w:r>
    </w:p>
    <w:p>
      <w:pPr>
        <w:pStyle w:val="ListBullet"/>
      </w:pPr>
      <w:r>
        <w:rPr>
          <w:rFonts w:ascii="Calibri" w:hAnsi="Calibri"/>
          <w:sz w:val="22"/>
        </w:rPr>
        <w:t>Informational — cleanup that does not stop the close.</w:t>
      </w:r>
    </w:p>
    <w:p>
      <w:pPr>
        <w:spacing w:after="160"/>
      </w:pPr>
      <w:r>
        <w:rPr>
          <w:rFonts w:ascii="Calibri" w:hAnsi="Calibri"/>
          <w:sz w:val="22"/>
        </w:rPr>
        <w:t>Each finding also carries a stable rule identity, the source system it came from, the metric or slide family it affects (ARR bridge, cash, pipeline, P&amp;L), and the owner of the fix: the source system, an SMPL mapping configuration, or — rarely — an explicit accept-with-disclosure for the close.</w:t>
      </w:r>
    </w:p>
    <w:p>
      <w:pPr>
        <w:pStyle w:val="Heading2"/>
      </w:pPr>
      <w:r>
        <w:t>Operating at scale</w:t>
      </w:r>
    </w:p>
    <w:p>
      <w:pPr>
        <w:spacing w:after="160"/>
      </w:pPr>
      <w:r>
        <w:rPr>
          <w:rFonts w:ascii="Calibri" w:hAnsi="Calibri"/>
          <w:sz w:val="22"/>
        </w:rPr>
        <w:t>Validation does not ship millions of warehouse rows into a spreadsheet. It produces scorecards and exception indexes: pass rates by rule and source, materiality counts, top offenders (accounts, products, owners), and a bounded sample of example rows sufficient to recognize the pattern. Full exception extracts, when needed, are asynchronous jobs — not the default trust UI. An optional exception workbook organizes summaries and samples by source tab (NetSuite, Salesforce, billing, and so on) so finance can remediate without treating the warehouse as an editable dump.</w:t>
      </w:r>
    </w:p>
    <w:p>
      <w:pPr>
        <w:pStyle w:val="Heading2"/>
      </w:pPr>
      <w:r>
        <w:t>Remediation without rewriting the warehouse</w:t>
      </w:r>
    </w:p>
    <w:p>
      <w:pPr>
        <w:spacing w:after="160"/>
      </w:pPr>
      <w:r>
        <w:rPr>
          <w:rFonts w:ascii="Calibri" w:hAnsi="Calibri"/>
          <w:sz w:val="22"/>
        </w:rPr>
        <w:t>SMPL.ai does not make the warehouse a second system of record for ERP and CRM edits. The preferred path is fix in source, then re-ingest. SMPL-owned configuration — chart mappings, aliases, segment maps — is corrected in guided product flows. Where a close must proceed with known defects, acceptance is explicit, dated, and recorded into the close context so board artifacts cannot pretend the data were clean.</w:t>
      </w:r>
    </w:p>
    <w:p>
      <w:pPr>
        <w:pStyle w:val="Heading2"/>
      </w:pPr>
      <w:r>
        <w:t>Financial integrity checks</w:t>
      </w:r>
    </w:p>
    <w:p>
      <w:pPr>
        <w:spacing w:after="160"/>
      </w:pPr>
      <w:r>
        <w:rPr>
          <w:rFonts w:ascii="Calibri" w:hAnsi="Calibri"/>
          <w:sz w:val="22"/>
        </w:rPr>
        <w:t>Alongside ingestion contracts, the engine runs financial integrity checks that finance already expects at close: three-statement tie-outs, ARR beginning-to-ending reconciliation, cash bridge consistency with the cash flow statement, and other period-matrix invariants. Contract failures answer whether the input is fit for purpose. Integrity failures answer whether the derived statements and waterfalls hold together. Both are required before a period is ready for executive review.</w:t>
      </w:r>
    </w:p>
    <w:p>
      <w:pPr>
        <w:pStyle w:val="Heading2"/>
      </w:pPr>
      <w:r>
        <w:t>The confidence journey</w:t>
      </w:r>
    </w:p>
    <w:p>
      <w:pPr>
        <w:spacing w:after="160"/>
      </w:pPr>
      <w:r>
        <w:rPr>
          <w:rFonts w:ascii="Calibri" w:hAnsi="Calibri"/>
          <w:sz w:val="22"/>
        </w:rPr>
        <w:t>Customer-facing readiness is taught as a progression: data confidence (load integrity against contracts), financial confidence (statements and waterfalls tie), then executive confidence (period locked, freeze complete, artifacts generated from the certified snapshot). Agents and narratives amplify that progression; they do not invent readiness when blocking checks fail.</w:t>
      </w:r>
    </w:p>
    <w:p>
      <w:pPr>
        <w:pStyle w:val="Heading1"/>
      </w:pPr>
      <w:r>
        <w:t>The Financial Intelligence Engine</w:t>
      </w:r>
    </w:p>
    <w:p>
      <w:pPr>
        <w:spacing w:after="160"/>
      </w:pPr>
      <w:r>
        <w:rPr>
          <w:rFonts w:ascii="Calibri" w:hAnsi="Calibri"/>
          <w:sz w:val="22"/>
        </w:rPr>
        <w:t>The calculation engine that operates on the canonical model is built specifically for SaaS finance, not as a general-purpose BI or spreadsheet-formula engine. Two design decisions distinguish it.</w:t>
      </w:r>
    </w:p>
    <w:p>
      <w:pPr>
        <w:spacing w:after="160"/>
      </w:pPr>
      <w:r>
        <w:rPr>
          <w:rFonts w:ascii="Calibri" w:hAnsi="Calibri"/>
          <w:sz w:val="22"/>
        </w:rPr>
        <w:t>Methodology is configuration, not code. How a customer defines ARR, recognizes revenue, calculates management EBITDA, or structures its chart of accounts is encoded as configuration the engine executes. The engine is the same for every customer; the configuration is not. This is what allows SMPL.ai to preserve a customer's existing methodology rather than forcing a generic template.</w:t>
      </w:r>
    </w:p>
    <w:p>
      <w:pPr>
        <w:spacing w:after="160"/>
      </w:pPr>
      <w:r>
        <w:rPr>
          <w:rFonts w:ascii="Calibri" w:hAnsi="Calibri"/>
          <w:sz w:val="22"/>
        </w:rPr>
        <w:t>Native SaaS primitives. ARR waterfalls (new, expansion, contraction, churn, reactivation) with correct sign conventions; N$R and G$R; quota ramp curves and capacity modeling; deferred revenue schedules; and cash forecasting that models the annual billing cycle explicitly — the renewal spike, the summer trough, the year-end acceleration — rather than smoothing it away under GAAP revenue recognition timing. These are first-class objects in the engine, not formulas layered on a generic warehouse.</w:t>
      </w:r>
    </w:p>
    <w:p>
      <w:pPr>
        <w:pStyle w:val="Heading1"/>
      </w:pPr>
      <w:r>
        <w:t>Deterministic Calculations</w:t>
      </w:r>
    </w:p>
    <w:p>
      <w:pPr>
        <w:spacing w:after="160"/>
      </w:pPr>
      <w:r>
        <w:rPr>
          <w:rFonts w:ascii="Calibri" w:hAnsi="Calibri"/>
          <w:sz w:val="22"/>
        </w:rPr>
        <w:t>Every calculation is deterministic: given the same inputs and the same methodology configuration, the engine returns the identical output on every run. The common alternative — in spreadsheet models and live-refreshing BI tools alike — is that the same question returns different answers depending on when it is asked or what changed upstream since the last refresh.</w:t>
      </w:r>
    </w:p>
    <w:p>
      <w:pPr>
        <w:spacing w:after="160"/>
      </w:pPr>
      <w:r>
        <w:rPr>
          <w:rFonts w:ascii="Calibri" w:hAnsi="Calibri"/>
          <w:sz w:val="22"/>
        </w:rPr>
        <w:t>The mechanism is versioning, not caching. Every calculation runs against a specific, timestamped snapshot of the canonical model and a specific version of the methodology configuration in effect at that time. When source data is later corrected — an invoice adjusted, a deal re-categorized, a prior period restated — the correction is recorded as a new entry, never a silent overwrite: the same discipline a general ledger applies to a correcting journal entry.</w:t>
      </w:r>
    </w:p>
    <w:p>
      <w:pPr>
        <w:spacing w:after="160"/>
      </w:pPr>
      <w:r>
        <w:rPr>
          <w:rFonts w:ascii="Calibri" w:hAnsi="Calibri"/>
          <w:sz w:val="22"/>
        </w:rPr>
        <w:t>A report generated in March, reproduced today, reads exactly as it did in March, even if the underlying data has since been corrected. A new report requested today reflects the correction. Both are correct; they answer different questions — what did we know then, and what do we know now — and SMPL.ai never conflates the two.</w:t>
      </w:r>
    </w:p>
    <w:p>
      <w:pPr>
        <w:pStyle w:val="Heading1"/>
      </w:pPr>
      <w:r>
        <w:t>Explainability and Evidence</w:t>
      </w:r>
    </w:p>
    <w:p>
      <w:pPr>
        <w:spacing w:after="160"/>
      </w:pPr>
      <w:r>
        <w:rPr>
          <w:rFonts w:ascii="Calibri" w:hAnsi="Calibri"/>
          <w:sz w:val="22"/>
        </w:rPr>
        <w:t>Every number can be traced to the specific source records that produced it — an invoice, an opportunity, a GL entry, a payroll record — not just to an intermediate aggregate. Explanations are generated the same way: by walking the canonical model and identifying which specific records drove a variance. A statement like "expansion ARR was favorable to forecast by $420K, driven by three enterprise upsells that closed early" is generated from those three opportunity records, not from a template that fills in a variance percentage.</w:t>
      </w:r>
    </w:p>
    <w:p>
      <w:pPr>
        <w:spacing w:after="160"/>
      </w:pPr>
      <w:r>
        <w:rPr>
          <w:rFonts w:ascii="Calibri" w:hAnsi="Calibri"/>
          <w:sz w:val="22"/>
        </w:rPr>
        <w:t>If the data does not support a specific, evidenced explanation, SMPL.ai says so explicitly rather than generating a plausible-sounding generic statement. An explicit confidence signal is attached to every number and explanation: a value derived from complete, well-structured source data carries high confidence; a value derived by inference — for example, ARR estimated from invoice history rather than an explicit contract record — carries a visibly lower signal and a note on what would resolve it. Confidence is never collapsed into false certainty in either direction.</w:t>
      </w:r>
    </w:p>
    <w:p>
      <w:pPr>
        <w:pStyle w:val="Heading1"/>
      </w:pPr>
      <w:r>
        <w:t>Governance and the Customer Close Workflow</w:t>
      </w:r>
    </w:p>
    <w:p>
      <w:pPr>
        <w:spacing w:after="160"/>
      </w:pPr>
      <w:r>
        <w:rPr>
          <w:rFonts w:ascii="Calibri" w:hAnsi="Calibri"/>
          <w:sz w:val="22"/>
        </w:rPr>
        <w:t>Governance covers three things: who can see what, how a period moves from open to reported, and how corrections are handled without rewriting history. Access is role-based, from full GL-level drill-down for finance to summary-level, explained views for executives and board members.</w:t>
      </w:r>
    </w:p>
    <w:p>
      <w:pPr>
        <w:spacing w:after="160"/>
      </w:pPr>
      <w:r>
        <w:rPr>
          <w:rFonts w:ascii="Calibri" w:hAnsi="Calibri"/>
          <w:sz w:val="22"/>
        </w:rPr>
        <w:t>Each reporting period moves through an explicit customer close workflow. Lock is the customer action that says loading for this phase is done; Close Ready is the resulting internal gate, not a synonym for Lock. The sequence:</w:t>
      </w:r>
    </w:p>
    <w:p>
      <w:pPr>
        <w:pStyle w:val="ListBullet"/>
      </w:pPr>
      <w:r>
        <w:rPr>
          <w:rFonts w:ascii="Calibri" w:hAnsi="Calibri"/>
          <w:sz w:val="22"/>
        </w:rPr>
        <w:t>Load. The canonical model ingests the period's data from connected source systems and records load integrity against ingestion contracts.</w:t>
      </w:r>
    </w:p>
    <w:p>
      <w:pPr>
        <w:pStyle w:val="ListBullet"/>
      </w:pPr>
      <w:r>
        <w:rPr>
          <w:rFonts w:ascii="Calibri" w:hAnsi="Calibri"/>
          <w:sz w:val="22"/>
        </w:rPr>
        <w:t>Validate. Contract checks and financial integrity checks run; findings are scored by severity, source, and metric impact. Blocking conditions are explained in product language, not left as silent warehouse defects.</w:t>
      </w:r>
    </w:p>
    <w:p>
      <w:pPr>
        <w:pStyle w:val="ListBullet"/>
      </w:pPr>
      <w:r>
        <w:rPr>
          <w:rFonts w:ascii="Calibri" w:hAnsi="Calibri"/>
          <w:sz w:val="22"/>
        </w:rPr>
        <w:t>Lock. The customer explicitly closes the loading phase. Further source-system changes are treated as corrections to be recorded, not silent edits to the locked view.</w:t>
      </w:r>
    </w:p>
    <w:p>
      <w:pPr>
        <w:pStyle w:val="ListBullet"/>
      </w:pPr>
      <w:r>
        <w:rPr>
          <w:rFonts w:ascii="Calibri" w:hAnsi="Calibri"/>
          <w:sz w:val="22"/>
        </w:rPr>
        <w:t>Freeze. A timestamped, reproducible close-context pack is created for the period — the certified snapshot every future "reproduce this report," board deck, MD&amp;A package, and Copilot answer for that close is expected to resolve to.</w:t>
      </w:r>
    </w:p>
    <w:p>
      <w:pPr>
        <w:pStyle w:val="ListBullet"/>
      </w:pPr>
      <w:r>
        <w:rPr>
          <w:rFonts w:ascii="Calibri" w:hAnsi="Calibri"/>
          <w:sz w:val="22"/>
        </w:rPr>
        <w:t>Report. Board packages, management P&amp;L, variance commentary, and supporting detail are generated from the frozen snapshot. AI narratives consume the same certified context so they cannot invent readiness the validation layer denied.</w:t>
      </w:r>
    </w:p>
    <w:p>
      <w:pPr>
        <w:spacing w:after="160"/>
      </w:pPr>
      <w:r>
        <w:rPr>
          <w:rFonts w:ascii="Calibri" w:hAnsi="Calibri"/>
          <w:sz w:val="22"/>
        </w:rPr>
        <w:t>Restatements do not reopen a frozen period. A correction is recorded as a new, dated entry with a stated reason, linked to the entry it supersedes, producing a new snapshot going forward while the original snapshot — and everything generated from it — remains exactly as it was. This is what makes "what did we know, and when did we know it" an answerable question rather than an aspiration.</w:t>
      </w:r>
    </w:p>
    <w:p>
      <w:pPr>
        <w:pStyle w:val="Heading1"/>
      </w:pPr>
      <w:r>
        <w:t>Reporting, Board Packages, and Serving Layer</w:t>
      </w:r>
    </w:p>
    <w:p>
      <w:pPr>
        <w:spacing w:after="160"/>
      </w:pPr>
      <w:r>
        <w:rPr>
          <w:rFonts w:ascii="Calibri" w:hAnsi="Calibri"/>
          <w:sz w:val="22"/>
        </w:rPr>
        <w:t>Once a period is frozen, the serving layer is deliberately constrained: the same certified context feeds the board operating review, MD&amp;A Excel package, and interactive Copilot. Numbers on slides are copied from structured payloads derived from that context; narrative tone may use freeze prose, but figures are not free-invented by the model. Presentation artifacts prefer adaptation of known-good structures filled with period data over unconstrained regeneration, so reproducibility extends from calculation into the package itself.</w:t>
      </w:r>
    </w:p>
    <w:p>
      <w:pPr>
        <w:spacing w:after="160"/>
      </w:pPr>
      <w:r>
        <w:rPr>
          <w:rFonts w:ascii="Calibri" w:hAnsi="Calibri"/>
          <w:sz w:val="22"/>
        </w:rPr>
        <w:t>Live warehouse reads remain available for exploratory work. Executive and close-bound artifacts prefer the freeze. That separation is how SMPL.ai keeps "what we reported" from drifting under late source edits while still allowing finance to investigate current operations.</w:t>
      </w:r>
    </w:p>
    <w:p>
      <w:pPr>
        <w:pStyle w:val="Heading1"/>
      </w:pPr>
      <w:r>
        <w:t>Typical Implementation Requirements</w:t>
      </w:r>
    </w:p>
    <w:p>
      <w:pPr>
        <w:spacing w:after="160"/>
      </w:pPr>
      <w:r>
        <w:rPr>
          <w:rFonts w:ascii="Calibri" w:hAnsi="Calibri"/>
          <w:sz w:val="22"/>
        </w:rPr>
        <w:t>Source system connections. SMPL.ai connects to the existing accounting or ERP platform for GL data, the CRM for pipeline, the HRIS for headcount, and the billing system for collections through native connectors. Implementation includes agreeing ingestion contracts and mapping configuration for the customer's chart of accounts and SaaS methodology.</w:t>
      </w:r>
    </w:p>
    <w:p>
      <w:pPr>
        <w:spacing w:after="160"/>
      </w:pPr>
      <w:r>
        <w:rPr>
          <w:rFonts w:ascii="Calibri" w:hAnsi="Calibri"/>
          <w:sz w:val="22"/>
        </w:rPr>
        <w:t>Delivery. A secure, browser-based application — no software to install and no infrastructure to manage.</w:t>
      </w:r>
    </w:p>
    <w:p>
      <w:pPr>
        <w:spacing w:after="160"/>
      </w:pPr>
      <w:r>
        <w:rPr>
          <w:rFonts w:ascii="Calibri" w:hAnsi="Calibri"/>
          <w:sz w:val="22"/>
        </w:rPr>
        <w:t>Security. Data is encrypted in transit and at rest, with role-based access control as described above.</w:t>
      </w:r>
    </w:p>
    <w:p>
      <w:pPr>
        <w:spacing w:after="160"/>
      </w:pPr>
      <w:r>
        <w:rPr>
          <w:rFonts w:ascii="Calibri" w:hAnsi="Calibri"/>
          <w:sz w:val="22"/>
        </w:rPr>
        <w:t>Timeline. Implementation is designed to run four to six weeks per customer, with early closes spent proving load integrity and validation gates against real source extracts before expanding narrative and board automation.</w:t>
      </w:r>
    </w:p>
    <w:p>
      <w:pPr>
        <w:spacing w:after="160"/>
      </w:pPr>
      <w:r>
        <w:rPr>
          <w:rFonts w:ascii="Calibri" w:hAnsi="Calibri"/>
          <w:sz w:val="22"/>
        </w:rPr>
        <w:t>Build status. Engineering is proving the platform end to end on core financial reporting first — GL ingestion, the three-statement close, the ARR waterfall, validation gates, and freeze-backed board artifacts — before expanding into GTM efficiency, workforce modeling, and sales intelligence. A limited number of design partners are being onboarded now to validate the platform against real data; the architecture and governance model in this document apply across every phase. Customer-facing exception scorecards and source-tab remediation packs are part of the specified trust surface; depth and automation of those surfaces continue to expand with the phased build.</w:t>
      </w:r>
    </w:p>
    <w:p>
      <w:pPr>
        <w:pStyle w:val="Heading1"/>
      </w:pPr>
      <w:r>
        <w:t>Conclusion</w:t>
      </w:r>
    </w:p>
    <w:p>
      <w:pPr>
        <w:spacing w:after="160"/>
      </w:pPr>
      <w:r>
        <w:rPr>
          <w:rFonts w:ascii="Calibri" w:hAnsi="Calibri"/>
          <w:sz w:val="22"/>
        </w:rPr>
        <w:t>The SMPL.ai Financial Intelligence Platform gives SaaS finance teams a connected, deterministic, and fully traceable view of the business, built on the organization's own methodologies and governed so that reported history is never rewritten. Trust is enforced upstream of narrative: ingestion contracts, severity-classified validation, and freeze gates keep incomplete source data from quietly becoming board truth. The architecture is designed to integrate with a company's existing systems, allowing finance to configure the platform around how the business already works — and to know, explicitly, when the data are not yet ready to tell that story.</w:t>
      </w:r>
    </w:p>
    <w:p>
      <w:pPr>
        <w:pStyle w:val="Heading1"/>
      </w:pPr>
      <w:r>
        <w:t>Glossary</w:t>
      </w:r>
    </w:p>
    <w:p>
      <w:pPr>
        <w:pStyle w:val="ListBullet"/>
      </w:pPr>
      <w:r>
        <w:rPr>
          <w:rFonts w:ascii="Calibri" w:hAnsi="Calibri"/>
          <w:sz w:val="22"/>
        </w:rPr>
        <w:t>ARR. Annual recurring revenue — a forward-looking run-rate metric, not the same as GAAP revenue.</w:t>
      </w:r>
    </w:p>
    <w:p>
      <w:pPr>
        <w:pStyle w:val="ListBullet"/>
      </w:pPr>
      <w:r>
        <w:rPr>
          <w:rFonts w:ascii="Calibri" w:hAnsi="Calibri"/>
          <w:sz w:val="22"/>
        </w:rPr>
        <w:t>ARR waterfall. New business + expansion - contraction - churn + reactivation = ending ARR.</w:t>
      </w:r>
    </w:p>
    <w:p>
      <w:pPr>
        <w:pStyle w:val="ListBullet"/>
      </w:pPr>
      <w:r>
        <w:rPr>
          <w:rFonts w:ascii="Calibri" w:hAnsi="Calibri"/>
          <w:sz w:val="22"/>
        </w:rPr>
        <w:t>N$R / G$R. Net and gross dollar retention (SMPL nomenclature; often called NRR / GRR elsewhere).</w:t>
      </w:r>
    </w:p>
    <w:p>
      <w:pPr>
        <w:pStyle w:val="ListBullet"/>
      </w:pPr>
      <w:r>
        <w:rPr>
          <w:rFonts w:ascii="Calibri" w:hAnsi="Calibri"/>
          <w:sz w:val="22"/>
        </w:rPr>
        <w:t>GL. General ledger — the system of record for accounting entries.</w:t>
      </w:r>
    </w:p>
    <w:p>
      <w:pPr>
        <w:pStyle w:val="ListBullet"/>
      </w:pPr>
      <w:r>
        <w:rPr>
          <w:rFonts w:ascii="Calibri" w:hAnsi="Calibri"/>
          <w:sz w:val="22"/>
        </w:rPr>
        <w:t>Canonical model. The normalized, company-standard representation of financial and operating facts after source systems are mapped into shared objects and periods.</w:t>
      </w:r>
    </w:p>
    <w:p>
      <w:pPr>
        <w:pStyle w:val="ListBullet"/>
      </w:pPr>
      <w:r>
        <w:rPr>
          <w:rFonts w:ascii="Calibri" w:hAnsi="Calibri"/>
          <w:sz w:val="22"/>
        </w:rPr>
        <w:t>Ingestion contract. The required fields and relationships for a source feed to support board-grade calculation.</w:t>
      </w:r>
    </w:p>
    <w:p>
      <w:pPr>
        <w:pStyle w:val="ListBullet"/>
      </w:pPr>
      <w:r>
        <w:rPr>
          <w:rFonts w:ascii="Calibri" w:hAnsi="Calibri"/>
          <w:sz w:val="22"/>
        </w:rPr>
        <w:t>Blocking / warning. Validation severities that either stop freeze/executive reporting or allow it with disclosed risk.</w:t>
      </w:r>
    </w:p>
    <w:p>
      <w:pPr>
        <w:pStyle w:val="ListBullet"/>
      </w:pPr>
      <w:r>
        <w:rPr>
          <w:rFonts w:ascii="Calibri" w:hAnsi="Calibri"/>
          <w:sz w:val="22"/>
        </w:rPr>
        <w:t>Close. The monthly or quarterly process of finalizing financial statements and operating metrics for a period.</w:t>
      </w:r>
    </w:p>
    <w:p>
      <w:pPr>
        <w:pStyle w:val="ListBullet"/>
      </w:pPr>
      <w:r>
        <w:rPr>
          <w:rFonts w:ascii="Calibri" w:hAnsi="Calibri"/>
          <w:sz w:val="22"/>
        </w:rPr>
        <w:t>Lock. Customer action declaring the loading phase for a close is complete; produces Close Ready work, and is not itself the freeze.</w:t>
      </w:r>
    </w:p>
    <w:p>
      <w:pPr>
        <w:pStyle w:val="ListBullet"/>
      </w:pPr>
      <w:r>
        <w:rPr>
          <w:rFonts w:ascii="Calibri" w:hAnsi="Calibri"/>
          <w:sz w:val="22"/>
        </w:rPr>
        <w:t>Freeze / close-context pack. Timestamped, reproducible snapshot of a locked period used for board, MD&amp;A, and Copilot serving.</w:t>
      </w:r>
    </w:p>
    <w:p>
      <w:pPr>
        <w:pStyle w:val="ListBullet"/>
      </w:pPr>
      <w:r>
        <w:rPr>
          <w:rFonts w:ascii="Calibri" w:hAnsi="Calibri"/>
          <w:sz w:val="22"/>
        </w:rPr>
        <w:t>MD&amp;A. Management Discussion and Analysis — the narrative and package accompanying financial statements, common in board reporting.</w:t>
      </w:r>
    </w:p>
    <w:p>
      <w:pPr>
        <w:pStyle w:val="ListBullet"/>
      </w:pPr>
      <w:r>
        <w:rPr>
          <w:rFonts w:ascii="Calibri" w:hAnsi="Calibri"/>
          <w:sz w:val="22"/>
        </w:rPr>
        <w:t>Evidence / lineage. The ability to trace a reported number back to its exact source records.</w:t>
      </w:r>
    </w:p>
    <w:p>
      <w:pPr>
        <w:pStyle w:val="ListBullet"/>
      </w:pPr>
      <w:r>
        <w:rPr>
          <w:rFonts w:ascii="Calibri" w:hAnsi="Calibri"/>
          <w:sz w:val="22"/>
        </w:rPr>
        <w:t>Confidence. An explicit signal of how trustworthy a given number or explanation is, never collapsed into false certainty.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1F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