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Customer Close Workflow — Product Specification</w:t>
      </w:r>
    </w:p>
    <w:p>
      <w:r/>
      <w:r>
        <w:rPr>
          <w:b/>
        </w:rPr>
        <w:t>Status:</w:t>
      </w:r>
      <w:r>
        <w:t xml:space="preserve"> Proposed for freeze (implementation-ready pending final DRI names)</w:t>
      </w:r>
    </w:p>
    <w:p>
      <w:r/>
      <w:r>
        <w:rPr>
          <w:b/>
        </w:rPr>
        <w:t>Owner (DRI):</w:t>
      </w:r>
      <w:r>
        <w:t xml:space="preserve"> Product — *name TBD before freeze meeting*</w:t>
      </w:r>
    </w:p>
    <w:p>
      <w:r/>
      <w:r>
        <w:rPr>
          <w:b/>
        </w:rPr>
        <w:t>Engineering DRI:</w:t>
      </w:r>
      <w:r>
        <w:t xml:space="preserve"> TBD</w:t>
      </w:r>
    </w:p>
    <w:p>
      <w:r/>
      <w:r>
        <w:rPr>
          <w:b/>
        </w:rPr>
        <w:t>Date:</w:t>
      </w:r>
      <w:r>
        <w:t xml:space="preserve"> 2026-07-14</w:t>
      </w:r>
    </w:p>
    <w:p>
      <w:r/>
      <w:r>
        <w:rPr>
          <w:b/>
        </w:rPr>
        <w:t>Baseline incorporated:</w:t>
      </w:r>
      <w:r>
        <w:t xml:space="preserve"> [CUSTOMER_CLOSE_DATA_READINESS.md](./CUSTOMER_CLOSE_DATA_READINESS.md) (alignment brief) · Product Design Review (Customer Close Workflow) · Review reconciliation vs Close Peak Rev 4</w:t>
      </w:r>
    </w:p>
    <w:p>
      <w:r/>
      <w:r>
        <w:rPr>
          <w:b/>
        </w:rPr>
        <w:t>Related:</w:t>
      </w:r>
      <w:r>
        <w:t xml:space="preserve"> [Close_Process.md](./Close_Process.md) · [CLOSE_PEAK_WORKLOAD.md](./CLOSE_PEAK_WORKLOAD.md) (Rev 4) · ABS-012 · BIS-003 · BIS-004 · FIE-001 · FIE-003 · FIE-005 · BUILD-005 · BUILD-008</w:t>
      </w:r>
    </w:p>
    <w:p>
      <w:r/>
      <w:r>
        <w:rPr>
          <w:b/>
        </w:rPr>
        <w:t>Purpose:</w:t>
      </w:r>
      <w:r>
        <w:t xml:space="preserve"> Define the </w:t>
      </w:r>
      <w:r>
        <w:rPr>
          <w:b/>
        </w:rPr>
        <w:t>canonical customer journey for every reporting period</w:t>
      </w:r>
      <w:r>
        <w:t xml:space="preserve"> so engineering builds one coherent workflow—not isolated Lock / receipt / freeze features.</w:t>
      </w:r>
    </w:p>
    <w:p>
      <w:r/>
      <w:r>
        <w:rPr>
          <w:b/>
        </w:rPr>
        <w:t>Non-goals:</w:t>
      </w:r>
      <w:r>
        <w:t xml:space="preserve"> Redesign ABS / BIS / FIE / BUILD. Introduce no new platform services. This is a </w:t>
      </w:r>
      <w:r>
        <w:rPr>
          <w:b/>
        </w:rPr>
        <w:t>product workflow refinement</w:t>
      </w:r>
      <w:r>
        <w:t xml:space="preserve"> over existing Close Session, freeze packs, validation, Prompt 5, Copilot, and Ops readiness.</w:t>
      </w:r>
    </w:p>
    <w:p>
      <w:pPr>
        <w:pStyle w:val="Heading1"/>
      </w:pPr>
      <w:r>
        <w:t>1. Product philosophy</w:t>
      </w:r>
    </w:p>
    <w:p>
      <w:r>
        <w:t xml:space="preserve">The customer should always know three things </w:t>
      </w:r>
      <w:r>
        <w:rPr>
          <w:b/>
        </w:rPr>
        <w:t>without Engineering or Operations</w:t>
      </w:r>
      <w:r>
        <w:t>:</w:t>
      </w:r>
    </w:p>
    <w:p>
      <w:pPr>
        <w:pStyle w:val="ListNumber"/>
      </w:pPr>
      <w:r>
        <w:t>What data has successfully loaded (</w:t>
      </w:r>
      <w:r>
        <w:rPr>
          <w:b/>
        </w:rPr>
        <w:t>Load Integrity</w:t>
      </w:r>
      <w:r>
        <w:t>).</w:t>
      </w:r>
    </w:p>
    <w:p>
      <w:pPr>
        <w:pStyle w:val="ListNumber"/>
      </w:pPr>
      <w:r>
        <w:t>Whether they are ready to lock the close (</w:t>
      </w:r>
      <w:r>
        <w:rPr>
          <w:b/>
        </w:rPr>
        <w:t>Ready to Lock</w:t>
      </w:r>
      <w:r>
        <w:t>).</w:t>
      </w:r>
    </w:p>
    <w:p>
      <w:pPr>
        <w:pStyle w:val="ListNumber"/>
      </w:pPr>
      <w:r>
        <w:t>What is preventing executive reporting (</w:t>
      </w:r>
      <w:r>
        <w:rPr>
          <w:b/>
        </w:rPr>
        <w:t>blocking conditions</w:t>
      </w:r>
      <w:r>
        <w:t>, explained).</w:t>
      </w:r>
    </w:p>
    <w:p>
      <w:r>
        <w:t>Agents amplify the product—they never replace missing product functionality and never invent readiness (fail-closed).</w:t>
      </w:r>
    </w:p>
    <w:p>
      <w:r>
        <w:t>Confidence journey the UI should teach:</w:t>
      </w:r>
    </w:p>
    <w:p>
      <w:r>
        <w:rPr>
          <w:rFonts w:ascii="Consolas" w:hAnsi="Consolas"/>
          <w:sz w:val="18"/>
        </w:rPr>
        <w:t>Data Confidence  →  Financial Confidence  →  Executive Confidence</w:t>
        <w:br/>
        <w:t xml:space="preserve">   (load)              (financial)              (certified / published)</w:t>
      </w:r>
    </w:p>
    <w:p>
      <w:pPr>
        <w:pStyle w:val="Heading1"/>
      </w:pPr>
      <w:r>
        <w:t>2. What we already shipped (do not double-count)</w:t>
      </w:r>
    </w:p>
    <w:p>
      <w:r>
        <w:t xml:space="preserve">Keep shipping under Close Peak; this workflow </w:t>
      </w:r>
      <w:r>
        <w:rPr>
          <w:b/>
        </w:rPr>
        <w:t>feeds</w:t>
      </w:r>
      <w:r>
        <w:t xml:space="preserve"> them: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Already shipped / in flight</w:t>
            </w:r>
          </w:p>
        </w:tc>
        <w:tc>
          <w:tcPr>
            <w:tcW w:type="dxa" w:w="4320"/>
          </w:tcPr>
          <w:p>
            <w:r>
              <w:t>Role in this workflow</w:t>
            </w:r>
          </w:p>
        </w:tc>
      </w:tr>
      <w:tr>
        <w:tc>
          <w:tcPr>
            <w:tcW w:type="dxa" w:w="4320"/>
          </w:tcPr>
          <w:p>
            <w:r>
              <w:t>Freeze packs COMPLETE / STALE</w:t>
            </w:r>
          </w:p>
        </w:tc>
        <w:tc>
          <w:tcPr>
            <w:tcW w:type="dxa" w:w="4320"/>
          </w:tcPr>
          <w:p>
            <w:r>
              <w:t>Artifact behind FREEZING → READY FOR EXECUTIVE REVIEW</w:t>
            </w:r>
          </w:p>
        </w:tc>
      </w:tr>
      <w:tr>
        <w:tc>
          <w:tcPr>
            <w:tcW w:type="dxa" w:w="4320"/>
          </w:tcPr>
          <w:p>
            <w:r>
              <w:t>Ops / cron prewarm</w:t>
            </w:r>
          </w:p>
        </w:tc>
        <w:tc>
          <w:tcPr>
            <w:tcW w:type="dxa" w:w="4320"/>
          </w:tcPr>
          <w:p>
            <w:r>
              <w:t>Safety net; not the primary customer trigger</w:t>
            </w:r>
          </w:p>
        </w:tc>
      </w:tr>
      <w:tr>
        <w:tc>
          <w:tcPr>
            <w:tcW w:type="dxa" w:w="4320"/>
          </w:tcPr>
          <w:p>
            <w:r>
              <w:t>Prompt 5 hard-block without servable pack</w:t>
            </w:r>
          </w:p>
        </w:tc>
        <w:tc>
          <w:tcPr>
            <w:tcW w:type="dxa" w:w="4320"/>
          </w:tcPr>
          <w:p>
            <w:r>
              <w:t>Consumes Certified / freeze pack; fail-closed</w:t>
            </w:r>
          </w:p>
        </w:tc>
      </w:tr>
      <w:tr>
        <w:tc>
          <w:tcPr>
            <w:tcW w:type="dxa" w:w="4320"/>
          </w:tcPr>
          <w:p>
            <w:r>
              <w:t>Ops readiness + Prompt 5 remaining</w:t>
            </w:r>
          </w:p>
        </w:tc>
        <w:tc>
          <w:tcPr>
            <w:tcW w:type="dxa" w:w="4320"/>
          </w:tcPr>
          <w:p>
            <w:r>
              <w:t>Internal view of the same lifecycle</w:t>
            </w:r>
          </w:p>
        </w:tc>
      </w:tr>
      <w:tr>
        <w:tc>
          <w:tcPr>
            <w:tcW w:type="dxa" w:w="4320"/>
          </w:tcPr>
          <w:p>
            <w:r>
              <w:t>Durable jobs, concurrency, trust strip</w:t>
            </w:r>
          </w:p>
        </w:tc>
        <w:tc>
          <w:tcPr>
            <w:tcW w:type="dxa" w:w="4320"/>
          </w:tcPr>
          <w:p>
            <w:r>
              <w:t>Peak reliability</w:t>
            </w:r>
          </w:p>
        </w:tc>
      </w:tr>
      <w:tr>
        <w:tc>
          <w:tcPr>
            <w:tcW w:type="dxa" w:w="4320"/>
          </w:tcPr>
          <w:p>
            <w:r>
              <w:t>Close Session</w:t>
            </w:r>
          </w:p>
        </w:tc>
        <w:tc>
          <w:tcPr>
            <w:tcW w:type="dxa" w:w="4320"/>
          </w:tcPr>
          <w:p>
            <w:r>
              <w:t>Authoritative lineage object for Lock events, freeze, exports</w:t>
            </w:r>
          </w:p>
        </w:tc>
      </w:tr>
    </w:tbl>
    <w:p>
      <w:pPr>
        <w:pStyle w:val="Heading1"/>
      </w:pPr>
      <w:r>
        <w:t>3. Canonical name and product boundary</w:t>
      </w:r>
    </w:p>
    <w:p>
      <w:r/>
      <w:r>
        <w:rPr>
          <w:b/>
        </w:rPr>
        <w:t>Canonical name:</w:t>
      </w:r>
      <w:r>
        <w:t xml:space="preserve"> Customer Close Workflow</w:t>
      </w:r>
    </w:p>
    <w:p>
      <w:r/>
      <w:r>
        <w:rPr>
          <w:b/>
        </w:rPr>
        <w:t>Product boundary (Lock):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Before Lock — Data Operations</w:t>
            </w:r>
          </w:p>
        </w:tc>
        <w:tc>
          <w:tcPr>
            <w:tcW w:type="dxa" w:w="4320"/>
          </w:tcPr>
          <w:p>
            <w:r>
              <w:t>After Lock — Financial Intelligence (serving)</w:t>
            </w:r>
          </w:p>
        </w:tc>
      </w:tr>
      <w:tr>
        <w:tc>
          <w:tcPr>
            <w:tcW w:type="dxa" w:w="4320"/>
          </w:tcPr>
          <w:p>
            <w:r>
              <w:t>Upload / ingest</w:t>
            </w:r>
          </w:p>
        </w:tc>
        <w:tc>
          <w:tcPr>
            <w:tcW w:type="dxa" w:w="4320"/>
          </w:tcPr>
          <w:p>
            <w:r>
              <w:t>Observation / freeze pack consumption</w:t>
            </w:r>
          </w:p>
        </w:tc>
      </w:tr>
      <w:tr>
        <w:tc>
          <w:tcPr>
            <w:tcW w:type="dxa" w:w="4320"/>
          </w:tcPr>
          <w:p>
            <w:r>
              <w:t>Load receipts &amp; correction</w:t>
            </w:r>
          </w:p>
        </w:tc>
        <w:tc>
          <w:tcPr>
            <w:tcW w:type="dxa" w:w="4320"/>
          </w:tcPr>
          <w:p>
            <w:r>
              <w:t>Calculation / evidence (Phase 2 reserved)</w:t>
            </w:r>
          </w:p>
        </w:tc>
      </w:tr>
      <w:tr>
        <w:tc>
          <w:tcPr>
            <w:tcW w:type="dxa" w:w="4320"/>
          </w:tcPr>
          <w:p>
            <w:r>
              <w:t>Load integrity + financial integrity</w:t>
            </w:r>
          </w:p>
        </w:tc>
        <w:tc>
          <w:tcPr>
            <w:tcW w:type="dxa" w:w="4320"/>
          </w:tcPr>
          <w:p>
            <w:r>
              <w:t>Narratives, Prompt 5, Copilot</w:t>
            </w:r>
          </w:p>
        </w:tc>
      </w:tr>
      <w:tr>
        <w:tc>
          <w:tcPr>
            <w:tcW w:type="dxa" w:w="4320"/>
          </w:tcPr>
          <w:p>
            <w:r>
              <w:t>Ready-to-Lock checklist</w:t>
            </w:r>
          </w:p>
        </w:tc>
        <w:tc>
          <w:tcPr>
            <w:tcW w:type="dxa" w:w="4320"/>
          </w:tcPr>
          <w:p>
            <w:r>
              <w:t>Certified Close artifacts</w:t>
            </w:r>
          </w:p>
        </w:tc>
      </w:tr>
    </w:tbl>
    <w:p>
      <w:r>
        <w:t>This boundary matches FIE’s “consume precomputed / labeled close context” direction (Close Peak §9) without standing up Class 2 services ahead of schedule.</w:t>
      </w:r>
    </w:p>
    <w:p>
      <w:pPr>
        <w:pStyle w:val="Heading1"/>
      </w:pPr>
      <w:r>
        <w:t>4. Vocabulary reconciliation (required)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Term</w:t>
            </w:r>
          </w:p>
        </w:tc>
        <w:tc>
          <w:tcPr>
            <w:tcW w:type="dxa" w:w="2880"/>
          </w:tcPr>
          <w:p>
            <w:r>
              <w:t>Audience</w:t>
            </w:r>
          </w:p>
        </w:tc>
        <w:tc>
          <w:tcPr>
            <w:tcW w:type="dxa" w:w="2880"/>
          </w:tcPr>
          <w:p>
            <w:r>
              <w:t>Definition</w:t>
            </w:r>
          </w:p>
        </w:tc>
      </w:tr>
      <w:tr>
        <w:tc>
          <w:tcPr>
            <w:tcW w:type="dxa" w:w="2880"/>
          </w:tcPr>
          <w:p>
            <w:r>
              <w:t>Lock</w:t>
            </w:r>
          </w:p>
        </w:tc>
        <w:tc>
          <w:tcPr>
            <w:tcW w:type="dxa" w:w="2880"/>
          </w:tcPr>
          <w:p>
            <w:r>
              <w:t>Customer action</w:t>
            </w:r>
          </w:p>
        </w:tc>
        <w:tc>
          <w:tcPr>
            <w:tcW w:type="dxa" w:w="2880"/>
          </w:tcPr>
          <w:p>
            <w:r>
              <w:t>Explicit “I am done loading for this close phase.” Lock produces Close Ready work—it is *not* the same word as Close Ready.</w:t>
            </w:r>
          </w:p>
        </w:tc>
      </w:tr>
      <w:tr>
        <w:tc>
          <w:tcPr>
            <w:tcW w:type="dxa" w:w="2880"/>
          </w:tcPr>
          <w:p>
            <w:r>
              <w:t>Close Ready (Phase 1)</w:t>
            </w:r>
          </w:p>
        </w:tc>
        <w:tc>
          <w:tcPr>
            <w:tcW w:type="dxa" w:w="2880"/>
          </w:tcPr>
          <w:p>
            <w:r>
              <w:t>Internal gate (§4F)</w:t>
            </w:r>
          </w:p>
        </w:tc>
        <w:tc>
          <w:tcPr>
            <w:tcW w:type="dxa" w:w="2880"/>
          </w:tcPr>
          <w:p>
            <w:r>
              <w:t>`financial validation pass/warning` + freeze `COMPLETE` + as-of transparency. Result of successful Lock → validate → freeze.</w:t>
            </w:r>
          </w:p>
        </w:tc>
      </w:tr>
      <w:tr>
        <w:tc>
          <w:tcPr>
            <w:tcW w:type="dxa" w:w="2880"/>
          </w:tcPr>
          <w:p>
            <w:r>
              <w:t>Ready for Executive Review</w:t>
            </w:r>
          </w:p>
        </w:tc>
        <w:tc>
          <w:tcPr>
            <w:tcW w:type="dxa" w:w="2880"/>
          </w:tcPr>
          <w:p>
            <w:r>
              <w:t>Customer ladder (§6)</w:t>
            </w:r>
          </w:p>
        </w:tc>
        <w:tc>
          <w:tcPr>
            <w:tcW w:type="dxa" w:w="2880"/>
          </w:tcPr>
          <w:p>
            <w:r>
              <w:t>Customer-facing label when Close Ready Phase 1 is true.</w:t>
            </w:r>
          </w:p>
        </w:tc>
      </w:tr>
      <w:tr>
        <w:tc>
          <w:tcPr>
            <w:tcW w:type="dxa" w:w="2880"/>
          </w:tcPr>
          <w:p>
            <w:r>
              <w:t>Close Certified / Certified Close</w:t>
            </w:r>
          </w:p>
        </w:tc>
        <w:tc>
          <w:tcPr>
            <w:tcW w:type="dxa" w:w="2880"/>
          </w:tcPr>
          <w:p>
            <w:r>
              <w:t>Customer + system</w:t>
            </w:r>
          </w:p>
        </w:tc>
        <w:tc>
          <w:tcPr>
            <w:tcW w:type="dxa" w:w="2880"/>
          </w:tcPr>
          <w:p>
            <w:r>
              <w:t>Freeze succeeded; certification metadata published for decks/Copilot.</w:t>
            </w:r>
          </w:p>
        </w:tc>
      </w:tr>
      <w:tr>
        <w:tc>
          <w:tcPr>
            <w:tcW w:type="dxa" w:w="2880"/>
          </w:tcPr>
          <w:p>
            <w:r>
              <w:t>Preparing Close / Close Validation</w:t>
            </w:r>
          </w:p>
        </w:tc>
        <w:tc>
          <w:tcPr>
            <w:tcW w:type="dxa" w:w="2880"/>
          </w:tcPr>
          <w:p>
            <w:r>
              <w:t>Customer ladder</w:t>
            </w:r>
          </w:p>
        </w:tc>
        <w:tc>
          <w:tcPr>
            <w:tcW w:type="dxa" w:w="2880"/>
          </w:tcPr>
          <w:p>
            <w:r>
              <w:t>Pre-Lock / pre-certification stages (see §6).</w:t>
            </w:r>
          </w:p>
        </w:tc>
      </w:tr>
    </w:tbl>
    <w:p>
      <w:r/>
      <w:r>
        <w:rPr>
          <w:b/>
        </w:rPr>
        <w:t>Lock vs Close Ready (explicit):</w:t>
      </w:r>
      <w:r/>
    </w:p>
    <w:p>
      <w:r/>
      <w:r>
        <w:rPr>
          <w:b/>
        </w:rPr>
        <w:t>Lock is the customer-initiated action that produces Close Ready.</w:t>
      </w:r>
      <w:r>
        <w:t xml:space="preserve"> Close Ready is the *resulting* internal gate state. Two audiences, one pipeline—never two competing product concepts.</w:t>
      </w:r>
    </w:p>
    <w:p>
      <w:r/>
      <w:r>
        <w:rPr>
          <w:b/>
        </w:rPr>
        <w:t>Customer ladder mapping:</w:t>
      </w:r>
      <w:r/>
    </w:p>
    <w:p>
      <w:r>
        <w:rPr>
          <w:rFonts w:ascii="Consolas" w:hAnsi="Consolas"/>
          <w:sz w:val="18"/>
        </w:rPr>
        <w:t>Preparing Close          →  OPEN, LOADING DATA</w:t>
        <w:br/>
        <w:t>Close Validation         →  VALIDATING, READY TO LOCK</w:t>
        <w:br/>
        <w:t>(Locked / Freezing)      →  LOCKED, FREEZING          (brief transitional labels)</w:t>
        <w:br/>
        <w:t>Ready for Executive Review →  READY FOR EXECUTIVE REVIEW  (= Close Ready Phase 1)</w:t>
        <w:br/>
        <w:t>Close Certified          →  PUBLISHED / Certified Close</w:t>
        <w:br/>
        <w:t>(Reopened)               →  REOPENED → back into Preparing / Validation with new Lock version</w:t>
      </w:r>
    </w:p>
    <w:p>
      <w:r>
        <w:t xml:space="preserve">Do </w:t>
      </w:r>
      <w:r>
        <w:rPr>
          <w:b/>
        </w:rPr>
        <w:t>not</w:t>
      </w:r>
      <w:r>
        <w:t xml:space="preserve"> invent a long-lived customer-facing “Locked” rung parallel to this ladder—use Lock as the *action*, and keep ladder terms aligned with Close Peak §6.</w:t>
      </w:r>
    </w:p>
    <w:p>
      <w:pPr>
        <w:pStyle w:val="Heading1"/>
      </w:pPr>
      <w:r>
        <w:t>5. Formal state machine</w:t>
      </w:r>
    </w:p>
    <w:p>
      <w:pPr>
        <w:pStyle w:val="Heading2"/>
      </w:pPr>
      <w:r>
        <w:t>5.1 Customer-visible states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`OPEN`</w:t>
            </w:r>
          </w:p>
        </w:tc>
        <w:tc>
          <w:tcPr>
            <w:tcW w:type="dxa" w:w="4320"/>
          </w:tcPr>
          <w:p>
            <w:r>
              <w:t>Period close session exists; no meaningful loads yet (or reset after reopen).</w:t>
            </w:r>
          </w:p>
        </w:tc>
      </w:tr>
      <w:tr>
        <w:tc>
          <w:tcPr>
            <w:tcW w:type="dxa" w:w="4320"/>
          </w:tcPr>
          <w:p>
            <w:r>
              <w:t>`LOADING_DATA`</w:t>
            </w:r>
          </w:p>
        </w:tc>
        <w:tc>
          <w:tcPr>
            <w:tcW w:type="dxa" w:w="4320"/>
          </w:tcPr>
          <w:p>
            <w:r>
              <w:t>At least one load in progress or applied; checklist incomplete.</w:t>
            </w:r>
          </w:p>
        </w:tc>
      </w:tr>
      <w:tr>
        <w:tc>
          <w:tcPr>
            <w:tcW w:type="dxa" w:w="4320"/>
          </w:tcPr>
          <w:p>
            <w:r>
              <w:t>`VALIDATING`</w:t>
            </w:r>
          </w:p>
        </w:tc>
        <w:tc>
          <w:tcPr>
            <w:tcW w:type="dxa" w:w="4320"/>
          </w:tcPr>
          <w:p>
            <w:r>
              <w:t>Load integrity and/or financial integrity running or awaiting resolution.</w:t>
            </w:r>
          </w:p>
        </w:tc>
      </w:tr>
      <w:tr>
        <w:tc>
          <w:tcPr>
            <w:tcW w:type="dxa" w:w="4320"/>
          </w:tcPr>
          <w:p>
            <w:r>
              <w:t>`READY_TO_LOCK`</w:t>
            </w:r>
          </w:p>
        </w:tc>
        <w:tc>
          <w:tcPr>
            <w:tcW w:type="dxa" w:w="4320"/>
          </w:tcPr>
          <w:p>
            <w:r>
              <w:t>Platform computed eligibility; Lock CTA enabled.</w:t>
            </w:r>
          </w:p>
        </w:tc>
      </w:tr>
      <w:tr>
        <w:tc>
          <w:tcPr>
            <w:tcW w:type="dxa" w:w="4320"/>
          </w:tcPr>
          <w:p>
            <w:r>
              <w:t>`LOCKED`</w:t>
            </w:r>
          </w:p>
        </w:tc>
        <w:tc>
          <w:tcPr>
            <w:tcW w:type="dxa" w:w="4320"/>
          </w:tcPr>
          <w:p>
            <w:r>
              <w:t>Customer Lock accepted (immutable Lock event recorded).</w:t>
            </w:r>
          </w:p>
        </w:tc>
      </w:tr>
      <w:tr>
        <w:tc>
          <w:tcPr>
            <w:tcW w:type="dxa" w:w="4320"/>
          </w:tcPr>
          <w:p>
            <w:r>
              <w:t>`FREEZING`</w:t>
            </w:r>
          </w:p>
        </w:tc>
        <w:tc>
          <w:tcPr>
            <w:tcW w:type="dxa" w:w="4320"/>
          </w:tcPr>
          <w:p>
            <w:r>
              <w:t>Freeze pack build in progress.</w:t>
            </w:r>
          </w:p>
        </w:tc>
      </w:tr>
      <w:tr>
        <w:tc>
          <w:tcPr>
            <w:tcW w:type="dxa" w:w="4320"/>
          </w:tcPr>
          <w:p>
            <w:r>
              <w:t>`READY_FOR_EXECUTIVE_REVIEW`</w:t>
            </w:r>
          </w:p>
        </w:tc>
        <w:tc>
          <w:tcPr>
            <w:tcW w:type="dxa" w:w="4320"/>
          </w:tcPr>
          <w:p>
            <w:r>
              <w:t>Close Ready Phase 1 true; decks/Copilot allowed on certified/servable pack.</w:t>
            </w:r>
          </w:p>
        </w:tc>
      </w:tr>
      <w:tr>
        <w:tc>
          <w:tcPr>
            <w:tcW w:type="dxa" w:w="4320"/>
          </w:tcPr>
          <w:p>
            <w:r>
              <w:t>`PUBLISHED`</w:t>
            </w:r>
          </w:p>
        </w:tc>
        <w:tc>
          <w:tcPr>
            <w:tcW w:type="dxa" w:w="4320"/>
          </w:tcPr>
          <w:p>
            <w:r>
              <w:t>Customer/org has published executive materials for this lock version (or first successful Prompt 5 marked published—product may equate with Certified for Phase 1).</w:t>
            </w:r>
          </w:p>
        </w:tc>
      </w:tr>
      <w:tr>
        <w:tc>
          <w:tcPr>
            <w:tcW w:type="dxa" w:w="4320"/>
          </w:tcPr>
          <w:p>
            <w:r>
              <w:t>`REOPENED`</w:t>
            </w:r>
          </w:p>
        </w:tc>
        <w:tc>
          <w:tcPr>
            <w:tcW w:type="dxa" w:w="4320"/>
          </w:tcPr>
          <w:p>
            <w:r>
              <w:t>Customer reopened for further loads; prior packs/decks unchanged.</w:t>
            </w:r>
          </w:p>
        </w:tc>
      </w:tr>
    </w:tbl>
    <w:p>
      <w:pPr>
        <w:pStyle w:val="Heading2"/>
      </w:pPr>
      <w:r>
        <w:t>5.2 Internal system states (not primary customer UI)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Internal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Close Session status</w:t>
            </w:r>
          </w:p>
        </w:tc>
        <w:tc>
          <w:tcPr>
            <w:tcW w:type="dxa" w:w="4320"/>
          </w:tcPr>
          <w:p>
            <w:r>
              <w:t>Existing: `open` → `validation_complete` → `freeze_complete` → `archived` (extend carefully; see §10)</w:t>
            </w:r>
          </w:p>
        </w:tc>
      </w:tr>
      <w:tr>
        <w:tc>
          <w:tcPr>
            <w:tcW w:type="dxa" w:w="4320"/>
          </w:tcPr>
          <w:p>
            <w:r>
              <w:t>Freeze blob</w:t>
            </w:r>
          </w:p>
        </w:tc>
        <w:tc>
          <w:tcPr>
            <w:tcW w:type="dxa" w:w="4320"/>
          </w:tcPr>
          <w:p>
            <w:r>
              <w:t>`missing` / building / `COMPLETE` / `STALE`</w:t>
            </w:r>
          </w:p>
        </w:tc>
      </w:tr>
      <w:tr>
        <w:tc>
          <w:tcPr>
            <w:tcW w:type="dxa" w:w="4320"/>
          </w:tcPr>
          <w:p>
            <w:r>
              <w:t>Close Ready Phase 1 / 2</w:t>
            </w:r>
          </w:p>
        </w:tc>
        <w:tc>
          <w:tcPr>
            <w:tcW w:type="dxa" w:w="4320"/>
          </w:tcPr>
          <w:p>
            <w:r>
              <w:t>Gate boolean + reason codes</w:t>
            </w:r>
          </w:p>
        </w:tc>
      </w:tr>
      <w:tr>
        <w:tc>
          <w:tcPr>
            <w:tcW w:type="dxa" w:w="4320"/>
          </w:tcPr>
          <w:p>
            <w:r>
              <w:t>Queue status</w:t>
            </w:r>
          </w:p>
        </w:tc>
        <w:tc>
          <w:tcPr>
            <w:tcW w:type="dxa" w:w="4320"/>
          </w:tcPr>
          <w:p>
            <w:r>
              <w:t>Export job depth / failures</w:t>
            </w:r>
          </w:p>
        </w:tc>
      </w:tr>
      <w:tr>
        <w:tc>
          <w:tcPr>
            <w:tcW w:type="dxa" w:w="4320"/>
          </w:tcPr>
          <w:p>
            <w:r>
              <w:t>Lock version `N`</w:t>
            </w:r>
          </w:p>
        </w:tc>
        <w:tc>
          <w:tcPr>
            <w:tcW w:type="dxa" w:w="4320"/>
          </w:tcPr>
          <w:p>
            <w:r>
              <w:t>Append-only event on Close Session lineage</w:t>
            </w:r>
          </w:p>
        </w:tc>
      </w:tr>
    </w:tbl>
    <w:p>
      <w:pPr>
        <w:pStyle w:val="Heading2"/>
      </w:pPr>
      <w:r>
        <w:t>5.3 Valid transitions</w:t>
      </w:r>
    </w:p>
    <w:p>
      <w:r>
        <w:rPr>
          <w:rFonts w:ascii="Consolas" w:hAnsi="Consolas"/>
          <w:sz w:val="18"/>
        </w:rPr>
        <w:t>OPEN → LOADING_DATA</w:t>
        <w:br/>
        <w:t>LOADING_DATA ↔ VALIDATING</w:t>
        <w:br/>
        <w:t>VALIDATING → READY_TO_LOCK | LOADING_DATA</w:t>
        <w:br/>
        <w:t>READY_TO_LOCK → LOCKED | LOADING_DATA | VALIDATING</w:t>
        <w:br/>
        <w:t>LOCKED → FREEZING</w:t>
        <w:br/>
        <w:t>FREEZING → READY_FOR_EXECUTIVE_REVIEW | VALIDATING (freeze fail → explain + unblock)</w:t>
        <w:br/>
        <w:t>READY_FOR_EXECUTIVE_REVIEW → PUBLISHED | REOPENED</w:t>
        <w:br/>
        <w:t>PUBLISHED → REOPENED</w:t>
        <w:br/>
        <w:t>REOPENED → LOADING_DATA | VALIDATING</w:t>
      </w:r>
    </w:p>
    <w:p>
      <w:r>
        <w:t>After REOPENED + successful re-lock: new Lock version → FREEZING → new READY_FOR_EXECUTIVE_REVIEW (new pack). Prior deck/pack for Lock version N−1 remains immutable.</w:t>
      </w:r>
    </w:p>
    <w:p>
      <w:pPr>
        <w:pStyle w:val="Heading2"/>
      </w:pPr>
      <w:r>
        <w:t>5.4 Invalid transitions (examples)</w:t>
      </w:r>
    </w:p>
    <w:p>
      <w:pPr>
        <w:pStyle w:val="ListBullet"/>
      </w:pPr>
      <w:r>
        <w:t>Skip to `LOCKED` without `READY_TO_LOCK`.</w:t>
      </w:r>
    </w:p>
    <w:p>
      <w:pPr>
        <w:pStyle w:val="ListBullet"/>
      </w:pPr>
      <w:r>
        <w:t>`LOCKED` → `PUBLISHED` without freeze COMPLETE (Phase 1).</w:t>
      </w:r>
    </w:p>
    <w:p>
      <w:pPr>
        <w:pStyle w:val="ListBullet"/>
      </w:pPr>
      <w:r>
        <w:t>Mutate historical freeze pack or Lock event in place.</w:t>
      </w:r>
    </w:p>
    <w:p>
      <w:pPr>
        <w:pStyle w:val="ListBullet"/>
      </w:pPr>
      <w:r>
        <w:t>Agent or UI asserting Ready for Executive Review when Close Ready is false.</w:t>
      </w:r>
    </w:p>
    <w:p>
      <w:pPr>
        <w:pStyle w:val="ListBullet"/>
      </w:pPr>
      <w:r>
        <w:t>Prompt 5 starting with no COMPLETE/STALE pack (existing hard-block).</w:t>
      </w:r>
    </w:p>
    <w:p>
      <w:pPr>
        <w:pStyle w:val="Heading1"/>
      </w:pPr>
      <w:r>
        <w:t>6. Integrity model (two independent concepts)</w:t>
      </w:r>
    </w:p>
    <w:p>
      <w:pPr>
        <w:pStyle w:val="Heading2"/>
      </w:pPr>
      <w:r>
        <w:t>6.1 Load Integrity</w:t>
      </w:r>
    </w:p>
    <w:p>
      <w:pPr>
        <w:pStyle w:val="ListBullet"/>
      </w:pPr>
      <w:r>
        <w:t>File / batch received</w:t>
      </w:r>
    </w:p>
    <w:p>
      <w:pPr>
        <w:pStyle w:val="ListBullet"/>
      </w:pPr>
      <w:r>
        <w:t>Rows staged</w:t>
      </w:r>
    </w:p>
    <w:p>
      <w:pPr>
        <w:pStyle w:val="ListBullet"/>
      </w:pPr>
      <w:r>
        <w:t>Rows applied</w:t>
      </w:r>
    </w:p>
    <w:p>
      <w:pPr>
        <w:pStyle w:val="ListBullet"/>
      </w:pPr>
      <w:r>
        <w:t>Row errors (code + message + row identity)</w:t>
      </w:r>
    </w:p>
    <w:p>
      <w:pPr>
        <w:pStyle w:val="ListBullet"/>
      </w:pPr>
      <w:r>
        <w:t xml:space="preserve">Durable </w:t>
      </w:r>
      <w:r>
        <w:rPr>
          <w:b/>
        </w:rPr>
        <w:t>load receipt</w:t>
      </w:r>
      <w:r>
        <w:t xml:space="preserve"> per load</w:t>
      </w:r>
    </w:p>
    <w:p>
      <w:pPr>
        <w:pStyle w:val="Heading2"/>
      </w:pPr>
      <w:r>
        <w:t>6.2 Financial Integrity</w:t>
      </w:r>
    </w:p>
    <w:p>
      <w:r>
        <w:t xml:space="preserve">Existing close / export validations (tie-outs): cash, ARR, revenue, statements, board metrics—surfaced today via validation APIs and trust strip. Do </w:t>
      </w:r>
      <w:r>
        <w:rPr>
          <w:b/>
        </w:rPr>
        <w:t>not</w:t>
      </w:r>
      <w:r>
        <w:t xml:space="preserve"> invent a third scorecard; separate </w:t>
      </w:r>
      <w:r>
        <w:rPr>
          <w:b/>
        </w:rPr>
        <w:t>presentation</w:t>
      </w:r>
      <w:r>
        <w:t xml:space="preserve"> of load vs financial.</w:t>
      </w:r>
    </w:p>
    <w:p>
      <w:r>
        <w:t>Customers see both independently on the Close Checklist.</w:t>
      </w:r>
    </w:p>
    <w:p>
      <w:pPr>
        <w:pStyle w:val="Heading1"/>
      </w:pPr>
      <w:r>
        <w:t>7. Ready to Lock, checklist, and blocking explanations</w:t>
      </w:r>
    </w:p>
    <w:p>
      <w:pPr>
        <w:pStyle w:val="Heading2"/>
      </w:pPr>
      <w:r>
        <w:t>7.1 Ready to Lock</w:t>
      </w:r>
    </w:p>
    <w:p>
      <w:r>
        <w:t>Platform computes eligibility. Customer never wonders “Am I finished?”</w:t>
      </w:r>
    </w:p>
    <w:p>
      <w:r/>
      <w:r>
        <w:rPr>
          <w:b/>
        </w:rPr>
        <w:t>Default Phase 1 checklist (configurable per org later):</w:t>
      </w:r>
      <w:r/>
    </w:p>
    <w:p>
      <w:pPr>
        <w:pStyle w:val="ListBullet"/>
      </w:pPr>
      <w:r>
        <w:t>Required datasets present for the close period (e.g. GL, CRM/closed-won, Billing, Headcount, Cash—org profile may subset)</w:t>
      </w:r>
    </w:p>
    <w:p>
      <w:pPr>
        <w:pStyle w:val="ListBullet"/>
      </w:pPr>
      <w:r>
        <w:t xml:space="preserve">Load integrity: no unresolved </w:t>
      </w:r>
      <w:r>
        <w:rPr>
          <w:b/>
        </w:rPr>
        <w:t>critical</w:t>
      </w:r>
      <w:r>
        <w:t xml:space="preserve"> row errors</w:t>
      </w:r>
    </w:p>
    <w:p>
      <w:pPr>
        <w:pStyle w:val="ListBullet"/>
      </w:pPr>
      <w:r>
        <w:t>Financial integrity: validation status `pass` or `warning` (not `fail`) for Lock</w:t>
      </w:r>
    </w:p>
    <w:p>
      <w:pPr>
        <w:pStyle w:val="ListBullet"/>
      </w:pPr>
      <w:r>
        <w:t>No blocking jobs / freeze already mid-flight conflict</w:t>
      </w:r>
    </w:p>
    <w:p>
      <w:r>
        <w:t>When all pass → `READY_TO_LOCK`.</w:t>
      </w:r>
    </w:p>
    <w:p>
      <w:pPr>
        <w:pStyle w:val="Heading2"/>
      </w:pPr>
      <w:r>
        <w:t>7.2 Customer Close Checklist (tax-software style)</w:t>
      </w:r>
    </w:p>
    <w:p>
      <w:r>
        <w:t xml:space="preserve">Each item: </w:t>
      </w:r>
      <w:r>
        <w:rPr>
          <w:b/>
        </w:rPr>
        <w:t>Completed | Remaining | Blocking | Warning</w:t>
      </w:r>
      <w:r>
        <w:t xml:space="preserve"> with deep link to fix.</w:t>
      </w:r>
    </w:p>
    <w:p>
      <w:pPr>
        <w:pStyle w:val="Heading2"/>
      </w:pPr>
      <w:r>
        <w:t>7.3 Explain blocking (never bare “Cannot Lock”)</w:t>
      </w:r>
    </w:p>
    <w:p>
      <w:r>
        <w:t>Examples:</w:t>
      </w:r>
    </w:p>
    <w:p>
      <w:pPr>
        <w:pStyle w:val="ListBullet"/>
      </w:pPr>
      <w:r>
        <w:t>Missing Salesforce upload</w:t>
      </w:r>
    </w:p>
    <w:p>
      <w:pPr>
        <w:pStyle w:val="ListBullet"/>
      </w:pPr>
      <w:r>
        <w:t>3 unresolved row errors</w:t>
      </w:r>
    </w:p>
    <w:p>
      <w:pPr>
        <w:pStyle w:val="ListBullet"/>
      </w:pPr>
      <w:r>
        <w:t>ARR reconciliation incomplete</w:t>
      </w:r>
    </w:p>
    <w:p>
      <w:pPr>
        <w:pStyle w:val="ListBullet"/>
      </w:pPr>
      <w:r>
        <w:t>Cash bridge failed</w:t>
      </w:r>
    </w:p>
    <w:p>
      <w:r>
        <w:t>Same fail-closed clarity as Prompt 5’s 409 messages.</w:t>
      </w:r>
    </w:p>
    <w:p>
      <w:pPr>
        <w:pStyle w:val="Heading1"/>
      </w:pPr>
      <w:r>
        <w:t>8. Versioned Lock events (immutability)</w:t>
      </w:r>
    </w:p>
    <w:p>
      <w:r>
        <w:t xml:space="preserve">Treat Lock as an </w:t>
      </w:r>
      <w:r>
        <w:rPr>
          <w:b/>
        </w:rPr>
        <w:t>immutable event</w:t>
      </w:r>
      <w:r>
        <w:t>, not a toggled boolean.</w:t>
      </w:r>
    </w:p>
    <w:p>
      <w:r>
        <w:rPr>
          <w:rFonts w:ascii="Consolas" w:hAnsi="Consolas"/>
          <w:sz w:val="18"/>
        </w:rPr>
        <w:t>Close Session (org × as_of_period lineage)</w:t>
        <w:br/>
        <w:t xml:space="preserve">  └─ Lock Event v1  →  Freeze Pack v1  →  Dec/Copilot outputs stamped with session + lock_version</w:t>
        <w:br/>
        <w:t xml:space="preserve">  └─ Reopen</w:t>
        <w:br/>
        <w:t xml:space="preserve">  └─ Lock Event v2  →  Freeze Pack v2  →  new outputs</w:t>
      </w:r>
    </w:p>
    <w:p>
      <w:r/>
      <w:r>
        <w:rPr>
          <w:b/>
        </w:rPr>
        <w:t>Required rule (Review fix 2):</w:t>
      </w:r>
      <w:r/>
    </w:p>
    <w:p>
      <w:r>
        <w:t xml:space="preserve">Re-lock always produces a </w:t>
      </w:r>
      <w:r>
        <w:rPr>
          <w:b/>
        </w:rPr>
        <w:t>new</w:t>
      </w:r>
      <w:r>
        <w:t xml:space="preserve"> frozen snapshot and new lock_version. It </w:t>
      </w:r>
      <w:r>
        <w:rPr>
          <w:b/>
        </w:rPr>
        <w:t>never</w:t>
      </w:r>
      <w:r>
        <w:t xml:space="preserve"> modifies the pack an already-generated deck was built from. March’s board deck always matches what March said at Lock vN.</w:t>
      </w:r>
    </w:p>
    <w:p>
      <w:r/>
      <w:r>
        <w:rPr>
          <w:b/>
        </w:rPr>
        <w:t>Data model intent:</w:t>
      </w:r>
      <w:r>
        <w:t xml:space="preserve"> Lock events, load-receipt summaries, and freeze linkage live as </w:t>
      </w:r>
      <w:r>
        <w:rPr>
          <w:b/>
        </w:rPr>
        <w:t>fields/events on the existing Close Session lineage</w:t>
      </w:r>
      <w:r>
        <w:t>—not a parallel “readiness” service. Prefer append-only `close_lock_events` (and receipts) keyed by `close_session_id` over a second source of truth.</w:t>
      </w:r>
    </w:p>
    <w:p>
      <w:r/>
      <w:r>
        <w:rPr>
          <w:b/>
        </w:rPr>
        <w:t>Default reopen policy:</w:t>
      </w:r>
      <w:r>
        <w:t xml:space="preserve"> Allow further loads after reopen → mark prior COMPLETE pack </w:t>
      </w:r>
      <w:r>
        <w:rPr>
          <w:b/>
        </w:rPr>
        <w:t>STALE</w:t>
      </w:r>
      <w:r>
        <w:t xml:space="preserve"> for live paths as needed → customer re-locks → new COMPLETE. Do not silently rewrite history.</w:t>
      </w:r>
    </w:p>
    <w:p>
      <w:pPr>
        <w:pStyle w:val="Heading1"/>
      </w:pPr>
      <w:r>
        <w:t>9. Close Certification</w:t>
      </w:r>
    </w:p>
    <w:p>
      <w:r>
        <w:t>After freeze succeeds for Lock version N, surface: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Example</w:t>
            </w:r>
          </w:p>
        </w:tc>
      </w:tr>
      <w:tr>
        <w:tc>
          <w:tcPr>
            <w:tcW w:type="dxa" w:w="4320"/>
          </w:tcPr>
          <w:p>
            <w:r>
              <w:t>Certified Close</w:t>
            </w:r>
          </w:p>
        </w:tc>
        <w:tc>
          <w:tcPr>
            <w:tcW w:type="dxa" w:w="4320"/>
          </w:tcPr>
          <w:p>
            <w:r>
              <w:t>true</w:t>
            </w:r>
          </w:p>
        </w:tc>
      </w:tr>
      <w:tr>
        <w:tc>
          <w:tcPr>
            <w:tcW w:type="dxa" w:w="4320"/>
          </w:tcPr>
          <w:p>
            <w:r>
              <w:t>Certified Period</w:t>
            </w:r>
          </w:p>
        </w:tc>
        <w:tc>
          <w:tcPr>
            <w:tcW w:type="dxa" w:w="4320"/>
          </w:tcPr>
          <w:p>
            <w:r>
              <w:t>`2026-06`</w:t>
            </w:r>
          </w:p>
        </w:tc>
      </w:tr>
      <w:tr>
        <w:tc>
          <w:tcPr>
            <w:tcW w:type="dxa" w:w="4320"/>
          </w:tcPr>
          <w:p>
            <w:r>
              <w:t>Certification Timestamp</w:t>
            </w:r>
          </w:p>
        </w:tc>
        <w:tc>
          <w:tcPr>
            <w:tcW w:type="dxa" w:w="4320"/>
          </w:tcPr>
          <w:p>
            <w:r>
              <w:t>ISO-8601</w:t>
            </w:r>
          </w:p>
        </w:tc>
      </w:tr>
      <w:tr>
        <w:tc>
          <w:tcPr>
            <w:tcW w:type="dxa" w:w="4320"/>
          </w:tcPr>
          <w:p>
            <w:r>
              <w:t>Close Session ID</w:t>
            </w:r>
          </w:p>
        </w:tc>
        <w:tc>
          <w:tcPr>
            <w:tcW w:type="dxa" w:w="4320"/>
          </w:tcPr>
          <w:p>
            <w:r>
              <w:t>UUID</w:t>
            </w:r>
          </w:p>
        </w:tc>
      </w:tr>
      <w:tr>
        <w:tc>
          <w:tcPr>
            <w:tcW w:type="dxa" w:w="4320"/>
          </w:tcPr>
          <w:p>
            <w:r>
              <w:t>Lock Version</w:t>
            </w:r>
          </w:p>
        </w:tc>
        <w:tc>
          <w:tcPr>
            <w:tcW w:type="dxa" w:w="4320"/>
          </w:tcPr>
          <w:p>
            <w:r>
              <w:t>integer</w:t>
            </w:r>
          </w:p>
        </w:tc>
      </w:tr>
      <w:tr>
        <w:tc>
          <w:tcPr>
            <w:tcW w:type="dxa" w:w="4320"/>
          </w:tcPr>
          <w:p>
            <w:r>
              <w:t>Freeze Status</w:t>
            </w:r>
          </w:p>
        </w:tc>
        <w:tc>
          <w:tcPr>
            <w:tcW w:type="dxa" w:w="4320"/>
          </w:tcPr>
          <w:p>
            <w:r>
              <w:t>COMPLETE</w:t>
            </w:r>
          </w:p>
        </w:tc>
      </w:tr>
    </w:tbl>
    <w:p>
      <w:r>
        <w:t xml:space="preserve">Prompt 5 and Copilot </w:t>
      </w:r>
      <w:r>
        <w:rPr>
          <w:b/>
        </w:rPr>
        <w:t>consume Certified Close / servable freeze artifacts</w:t>
      </w:r>
      <w:r>
        <w:t xml:space="preserve"> (existing as-of + freeze headers). Prewarm remains Ops backup and does not by itself equal customer certification unless product explicitly marks it (default: prewarm prepares pack; customer Lock still required for “Certified” badge—Ops prewarm alone ≠ customer Lock).</w:t>
      </w:r>
    </w:p>
    <w:p>
      <w:r/>
      <w:r>
        <w:rPr>
          <w:b/>
        </w:rPr>
        <w:t>Note:</w:t>
      </w:r>
      <w:r>
        <w:t xml:space="preserve"> Ops prewarm may create COMPLETE packs for cold-start safety; customer </w:t>
      </w:r>
      <w:r>
        <w:rPr>
          <w:b/>
        </w:rPr>
        <w:t>Certified Close</w:t>
      </w:r>
      <w:r>
        <w:t xml:space="preserve"> still requires Lock event for the workflow UI. Prompt 5 hard-block continues to use servable freeze (COMPLETE/STALE) so white-glove ops paths still work—label source honestly (customer-certified vs ops-prewarmed) in as-of / trust UI.</w:t>
      </w:r>
    </w:p>
    <w:p>
      <w:pPr>
        <w:pStyle w:val="Heading1"/>
      </w:pPr>
      <w:r>
        <w:t>10. API implications (extend existing surfaces; no new platform service)</w:t>
      </w:r>
    </w:p>
    <w:p>
      <w:r>
        <w:t>Extend current API workers—board, export, ops, Close Session—not a new microservice.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Concern</w:t>
            </w:r>
          </w:p>
        </w:tc>
        <w:tc>
          <w:tcPr>
            <w:tcW w:type="dxa" w:w="4320"/>
          </w:tcPr>
          <w:p>
            <w:r>
              <w:t>Suggested surface</w:t>
            </w:r>
          </w:p>
        </w:tc>
      </w:tr>
      <w:tr>
        <w:tc>
          <w:tcPr>
            <w:tcW w:type="dxa" w:w="4320"/>
          </w:tcPr>
          <w:p>
            <w:r>
              <w:t>Workflow status</w:t>
            </w:r>
          </w:p>
        </w:tc>
        <w:tc>
          <w:tcPr>
            <w:tcW w:type="dxa" w:w="4320"/>
          </w:tcPr>
          <w:p>
            <w:r>
              <w:t>`GET .../close-workflow` (org + period) → state, checklist, blockers, lock_version, certification</w:t>
            </w:r>
          </w:p>
        </w:tc>
      </w:tr>
      <w:tr>
        <w:tc>
          <w:tcPr>
            <w:tcW w:type="dxa" w:w="4320"/>
          </w:tcPr>
          <w:p>
            <w:r>
              <w:t>Lock</w:t>
            </w:r>
          </w:p>
        </w:tc>
        <w:tc>
          <w:tcPr>
            <w:tcW w:type="dxa" w:w="4320"/>
          </w:tcPr>
          <w:p>
            <w:r>
              <w:t>`POST .../close-workflow/lock`</w:t>
            </w:r>
          </w:p>
        </w:tc>
      </w:tr>
      <w:tr>
        <w:tc>
          <w:tcPr>
            <w:tcW w:type="dxa" w:w="4320"/>
          </w:tcPr>
          <w:p>
            <w:r>
              <w:t>Reopen</w:t>
            </w:r>
          </w:p>
        </w:tc>
        <w:tc>
          <w:tcPr>
            <w:tcW w:type="dxa" w:w="4320"/>
          </w:tcPr>
          <w:p>
            <w:r>
              <w:t>`POST .../close-workflow/reopen`</w:t>
            </w:r>
          </w:p>
        </w:tc>
      </w:tr>
      <w:tr>
        <w:tc>
          <w:tcPr>
            <w:tcW w:type="dxa" w:w="4320"/>
          </w:tcPr>
          <w:p>
            <w:r>
              <w:t>Load receipts</w:t>
            </w:r>
          </w:p>
        </w:tc>
        <w:tc>
          <w:tcPr>
            <w:tcW w:type="dxa" w:w="4320"/>
          </w:tcPr>
          <w:p>
            <w:r>
              <w:t>`GET/POST` on ingest paths; list by session</w:t>
            </w:r>
          </w:p>
        </w:tc>
      </w:tr>
      <w:tr>
        <w:tc>
          <w:tcPr>
            <w:tcW w:type="dxa" w:w="4320"/>
          </w:tcPr>
          <w:p>
            <w:r>
              <w:t>Unload / correct</w:t>
            </w:r>
          </w:p>
        </w:tc>
        <w:tc>
          <w:tcPr>
            <w:tcW w:type="dxa" w:w="4320"/>
          </w:tcPr>
          <w:p>
            <w:r>
              <w:t>Product APIs on ingest (existing upload routes extended)</w:t>
            </w:r>
          </w:p>
        </w:tc>
      </w:tr>
      <w:tr>
        <w:tc>
          <w:tcPr>
            <w:tcW w:type="dxa" w:w="4320"/>
          </w:tcPr>
          <w:p>
            <w:r>
              <w:t>Ops readiness</w:t>
            </w:r>
          </w:p>
        </w:tc>
        <w:tc>
          <w:tcPr>
            <w:tcW w:type="dxa" w:w="4320"/>
          </w:tcPr>
          <w:p>
            <w:r>
              <w:t>Extend existing Ops close-readiness row with lock_version, receipt summary, workflow state</w:t>
            </w:r>
          </w:p>
        </w:tc>
      </w:tr>
      <w:tr>
        <w:tc>
          <w:tcPr>
            <w:tcW w:type="dxa" w:w="4320"/>
          </w:tcPr>
          <w:p>
            <w:r>
              <w:t>Prompt 5 / Copilot</w:t>
            </w:r>
          </w:p>
        </w:tc>
        <w:tc>
          <w:tcPr>
            <w:tcW w:type="dxa" w:w="4320"/>
          </w:tcPr>
          <w:p>
            <w:r>
              <w:t>Keep freeze gate; stamp `close_session_id` + `lock_version` on jobs</w:t>
            </w:r>
          </w:p>
        </w:tc>
      </w:tr>
    </w:tbl>
    <w:p>
      <w:r>
        <w:t xml:space="preserve">Agents call </w:t>
      </w:r>
      <w:r>
        <w:rPr>
          <w:b/>
        </w:rPr>
        <w:t>only</w:t>
      </w:r>
      <w:r>
        <w:t xml:space="preserve"> these APIs; never invent state.</w:t>
      </w:r>
    </w:p>
    <w:p>
      <w:pPr>
        <w:pStyle w:val="Heading1"/>
      </w:pPr>
      <w:r>
        <w:t>11. Database implications</w:t>
      </w:r>
    </w:p>
    <w:p>
      <w:r>
        <w:t>No new platform database. Extend current Neon schema around Close Session: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`close_lock_events` (append-only)</w:t>
            </w:r>
          </w:p>
        </w:tc>
        <w:tc>
          <w:tcPr>
            <w:tcW w:type="dxa" w:w="4320"/>
          </w:tcPr>
          <w:p>
            <w:r>
              <w:t>lock_version, locked_at, locked_by, checklist_snapshot_json</w:t>
            </w:r>
          </w:p>
        </w:tc>
      </w:tr>
      <w:tr>
        <w:tc>
          <w:tcPr>
            <w:tcW w:type="dxa" w:w="4320"/>
          </w:tcPr>
          <w:p>
            <w:r>
              <w:t>`close_load_receipts` (or equivalent on ingest tables)</w:t>
            </w:r>
          </w:p>
        </w:tc>
        <w:tc>
          <w:tcPr>
            <w:tcW w:type="dxa" w:w="4320"/>
          </w:tcPr>
          <w:p>
            <w:r>
              <w:t>staged/applied/error counts + row error details</w:t>
            </w:r>
          </w:p>
        </w:tc>
      </w:tr>
      <w:tr>
        <w:tc>
          <w:tcPr>
            <w:tcW w:type="dxa" w:w="4320"/>
          </w:tcPr>
          <w:p>
            <w:r>
              <w:t>Close Session columns (optional denorm)</w:t>
            </w:r>
          </w:p>
        </w:tc>
        <w:tc>
          <w:tcPr>
            <w:tcW w:type="dxa" w:w="4320"/>
          </w:tcPr>
          <w:p>
            <w:r>
              <w:t>`workflow_state`, `current_lock_version`, `certified_at`</w:t>
            </w:r>
          </w:p>
        </w:tc>
      </w:tr>
      <w:tr>
        <w:tc>
          <w:tcPr>
            <w:tcW w:type="dxa" w:w="4320"/>
          </w:tcPr>
          <w:p>
            <w:r>
              <w:t>Freeze metadata</w:t>
            </w:r>
          </w:p>
        </w:tc>
        <w:tc>
          <w:tcPr>
            <w:tcW w:type="dxa" w:w="4320"/>
          </w:tcPr>
          <w:p>
            <w:r>
              <w:t>Already stores validation_check_ids; add `lock_version` / `close_session_id`</w:t>
            </w:r>
          </w:p>
        </w:tc>
      </w:tr>
    </w:tbl>
    <w:p>
      <w:r>
        <w:t>Unique `(org, period)` Close Session remains the lineage root; versions hang off it.</w:t>
      </w:r>
    </w:p>
    <w:p>
      <w:pPr>
        <w:pStyle w:val="Heading1"/>
      </w:pPr>
      <w:r>
        <w:t>12. Required backend services (modules, not new platforms)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Module</w:t>
            </w:r>
          </w:p>
        </w:tc>
        <w:tc>
          <w:tcPr>
            <w:tcW w:type="dxa" w:w="4320"/>
          </w:tcPr>
          <w:p>
            <w:r>
              <w:t>Responsibility</w:t>
            </w:r>
          </w:p>
        </w:tc>
      </w:tr>
      <w:tr>
        <w:tc>
          <w:tcPr>
            <w:tcW w:type="dxa" w:w="4320"/>
          </w:tcPr>
          <w:p>
            <w:r>
              <w:t>Close workflow service</w:t>
            </w:r>
          </w:p>
        </w:tc>
        <w:tc>
          <w:tcPr>
            <w:tcW w:type="dxa" w:w="4320"/>
          </w:tcPr>
          <w:p>
            <w:r>
              <w:t>State machine transitions, Ready-to-Lock computation, Lock/Reopen</w:t>
            </w:r>
          </w:p>
        </w:tc>
      </w:tr>
      <w:tr>
        <w:tc>
          <w:tcPr>
            <w:tcW w:type="dxa" w:w="4320"/>
          </w:tcPr>
          <w:p>
            <w:r>
              <w:t>Load receipt service</w:t>
            </w:r>
          </w:p>
        </w:tc>
        <w:tc>
          <w:tcPr>
            <w:tcW w:type="dxa" w:w="4320"/>
          </w:tcPr>
          <w:p>
            <w:r>
              <w:t>Persist/serve receipts; feed checklist</w:t>
            </w:r>
          </w:p>
        </w:tc>
      </w:tr>
      <w:tr>
        <w:tc>
          <w:tcPr>
            <w:tcW w:type="dxa" w:w="4320"/>
          </w:tcPr>
          <w:p>
            <w:r>
              <w:t>Existing freeze blob service</w:t>
            </w:r>
          </w:p>
        </w:tc>
        <w:tc>
          <w:tcPr>
            <w:tcW w:type="dxa" w:w="4320"/>
          </w:tcPr>
          <w:p>
            <w:r>
              <w:t>Build on Lock (primary); prewarm (secondary)</w:t>
            </w:r>
          </w:p>
        </w:tc>
      </w:tr>
      <w:tr>
        <w:tc>
          <w:tcPr>
            <w:tcW w:type="dxa" w:w="4320"/>
          </w:tcPr>
          <w:p>
            <w:r>
              <w:t>Existing validation / export validation</w:t>
            </w:r>
          </w:p>
        </w:tc>
        <w:tc>
          <w:tcPr>
            <w:tcW w:type="dxa" w:w="4320"/>
          </w:tcPr>
          <w:p>
            <w:r>
              <w:t>Financial integrity</w:t>
            </w:r>
          </w:p>
        </w:tc>
      </w:tr>
      <w:tr>
        <w:tc>
          <w:tcPr>
            <w:tcW w:type="dxa" w:w="4320"/>
          </w:tcPr>
          <w:p>
            <w:r>
              <w:t>Existing Close Session service</w:t>
            </w:r>
          </w:p>
        </w:tc>
        <w:tc>
          <w:tcPr>
            <w:tcW w:type="dxa" w:w="4320"/>
          </w:tcPr>
          <w:p>
            <w:r>
              <w:t>Lineage + certification fields</w:t>
            </w:r>
          </w:p>
        </w:tc>
      </w:tr>
      <w:tr>
        <w:tc>
          <w:tcPr>
            <w:tcW w:type="dxa" w:w="4320"/>
          </w:tcPr>
          <w:p>
            <w:r>
              <w:t>Agent tools (later)</w:t>
            </w:r>
          </w:p>
        </w:tc>
        <w:tc>
          <w:tcPr>
            <w:tcW w:type="dxa" w:w="4320"/>
          </w:tcPr>
          <w:p>
            <w:r>
              <w:t>Thin wrappers over workflow APIs; fail-closed</w:t>
            </w:r>
          </w:p>
        </w:tc>
      </w:tr>
    </w:tbl>
    <w:p>
      <w:pPr>
        <w:pStyle w:val="Heading1"/>
      </w:pPr>
      <w:r>
        <w:t>13. Agents (fail-closed rule)</w:t>
      </w:r>
    </w:p>
    <w:p>
      <w:r>
        <w:t>Agents amplify A–D product surfaces.</w:t>
      </w:r>
    </w:p>
    <w:p>
      <w:r/>
      <w:r>
        <w:rPr>
          <w:b/>
        </w:rPr>
        <w:t>Rule:</w:t>
      </w:r>
      <w:r>
        <w:t xml:space="preserve"> The Agent reads Lock, receipt, freeze, and workflow state </w:t>
      </w:r>
      <w:r>
        <w:rPr>
          <w:b/>
        </w:rPr>
        <w:t>directly</w:t>
      </w:r>
      <w:r>
        <w:t xml:space="preserve"> and </w:t>
      </w:r>
      <w:r>
        <w:rPr>
          <w:b/>
        </w:rPr>
        <w:t>never infers or guesses</w:t>
      </w:r>
      <w:r>
        <w:t xml:space="preserve"> readiness. If state is ambiguous or contested, the Agent says so explicitly. Same fail-closed rigor as Prompt 5’s hard-block.</w:t>
      </w:r>
    </w:p>
    <w:p>
      <w:pPr>
        <w:pStyle w:val="Heading1"/>
      </w:pPr>
      <w:r>
        <w:t>14. UX recommendations</w:t>
      </w:r>
    </w:p>
    <w:p>
      <w:pPr>
        <w:pStyle w:val="ListNumber"/>
      </w:pPr>
      <w:r>
        <w:t xml:space="preserve">Single </w:t>
      </w:r>
      <w:r>
        <w:rPr>
          <w:b/>
        </w:rPr>
        <w:t>Close</w:t>
      </w:r>
      <w:r>
        <w:t xml:space="preserve"> hub for the period (not scattered upload vs board vs export).</w:t>
      </w:r>
    </w:p>
    <w:p>
      <w:pPr>
        <w:pStyle w:val="ListNumber"/>
      </w:pPr>
      <w:r>
        <w:t>Top strip: workflow state + “what’s blocking executive reporting.”</w:t>
      </w:r>
    </w:p>
    <w:p>
      <w:pPr>
        <w:pStyle w:val="ListNumber"/>
      </w:pPr>
      <w:r>
        <w:t>Checklist with Completed / Remaining / Blocking / Warning.</w:t>
      </w:r>
    </w:p>
    <w:p>
      <w:pPr>
        <w:pStyle w:val="ListNumber"/>
      </w:pPr>
      <w:r>
        <w:t>Dual panels: Load Integrity | Financial Integrity.</w:t>
      </w:r>
    </w:p>
    <w:p>
      <w:pPr>
        <w:pStyle w:val="ListNumber"/>
      </w:pPr>
      <w:r>
        <w:t>Lock CTA only in `READY_TO_LOCK`; disabled states explain why.</w:t>
      </w:r>
    </w:p>
    <w:p>
      <w:pPr>
        <w:pStyle w:val="ListNumber"/>
      </w:pPr>
      <w:r>
        <w:t>After Lock: progress FREEZING → Certified Close card (session ID, timestamp, lock version).</w:t>
      </w:r>
    </w:p>
    <w:p>
      <w:pPr>
        <w:pStyle w:val="ListNumber"/>
      </w:pPr>
      <w:r>
        <w:t>Reopen is intentional, confirms “prior decks stay tied to Lock vN.”</w:t>
      </w:r>
    </w:p>
    <w:p>
      <w:pPr>
        <w:pStyle w:val="ListNumber"/>
      </w:pPr>
      <w:r>
        <w:t>Confidence steps: Data → Financial → Executive.</w:t>
      </w:r>
    </w:p>
    <w:p>
      <w:pPr>
        <w:pStyle w:val="Heading1"/>
      </w:pPr>
      <w:r>
        <w:t>15. Human approval (reserved — do not implement now)</w:t>
      </w:r>
    </w:p>
    <w:p>
      <w:r>
        <w:t>Reserve extension points on Lock / Publish without redesign:</w:t>
      </w:r>
    </w:p>
    <w:p>
      <w:r>
        <w:rPr>
          <w:rFonts w:ascii="Consolas" w:hAnsi="Consolas"/>
          <w:sz w:val="18"/>
        </w:rPr>
        <w:t>… → READY_FOR_EXECUTIVE_REVIEW → [Controller Approval] → [CFO Approval] → PUBLISHED</w:t>
      </w:r>
    </w:p>
    <w:p>
      <w:r>
        <w:t>Store approval events as future append-only rows on Close Session lineage.</w:t>
      </w:r>
    </w:p>
    <w:p>
      <w:pPr>
        <w:pStyle w:val="Heading1"/>
      </w:pPr>
      <w:r>
        <w:t>16. Phasing (reconciled with Close Peak §6a)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Scope</w:t>
            </w:r>
          </w:p>
        </w:tc>
        <w:tc>
          <w:tcPr>
            <w:tcW w:type="dxa" w:w="2880"/>
          </w:tcPr>
          <w:p>
            <w:r>
              <w:t>Outcome</w:t>
            </w:r>
          </w:p>
        </w:tc>
      </w:tr>
      <w:tr>
        <w:tc>
          <w:tcPr>
            <w:tcW w:type="dxa" w:w="2880"/>
          </w:tcPr>
          <w:p>
            <w:r>
              <w:t>Now</w:t>
            </w:r>
          </w:p>
        </w:tc>
        <w:tc>
          <w:tcPr>
            <w:tcW w:type="dxa" w:w="2880"/>
          </w:tcPr>
          <w:p>
            <w:r>
              <w:t>Continue Close Peak hardening</w:t>
            </w:r>
          </w:p>
        </w:tc>
        <w:tc>
          <w:tcPr>
            <w:tcW w:type="dxa" w:w="2880"/>
          </w:tcPr>
          <w:p>
            <w:r>
              <w:t>Peak-safe serving</w:t>
            </w:r>
          </w:p>
        </w:tc>
      </w:tr>
      <w:tr>
        <w:tc>
          <w:tcPr>
            <w:tcW w:type="dxa" w:w="2880"/>
          </w:tcPr>
          <w:p>
            <w:r>
              <w:t>Next (Workflow Must)</w:t>
            </w:r>
          </w:p>
        </w:tc>
        <w:tc>
          <w:tcPr>
            <w:tcW w:type="dxa" w:w="2880"/>
          </w:tcPr>
          <w:p>
            <w:r>
              <w:t>Load receipts pulled forward (required for Lock eligibility + checklist) → self-serve unload/correct (v1: unload batch + re-upload; row-level later) → Ready-to-Lock + Lock/Reopen events → freeze-from-Lock → Certified Close UI → Ops row extensions</w:t>
            </w:r>
          </w:p>
        </w:tc>
        <w:tc>
          <w:tcPr>
            <w:tcW w:type="dxa" w:w="2880"/>
          </w:tcPr>
          <w:p>
            <w:r>
              <w:t>Customer-owned Data Ops → FI serving</w:t>
            </w:r>
          </w:p>
        </w:tc>
      </w:tr>
      <w:tr>
        <w:tc>
          <w:tcPr>
            <w:tcW w:type="dxa" w:w="2880"/>
          </w:tcPr>
          <w:p>
            <w:r>
              <w:t>Then</w:t>
            </w:r>
          </w:p>
        </w:tc>
        <w:tc>
          <w:tcPr>
            <w:tcW w:type="dxa" w:w="2880"/>
          </w:tcPr>
          <w:p>
            <w:r>
              <w:t>Agents on workflow APIs; optional human approvals; Close Ready Phase 2 when Class 2 exists</w:t>
            </w:r>
          </w:p>
        </w:tc>
        <w:tc>
          <w:tcPr>
            <w:tcW w:type="dxa" w:w="2880"/>
          </w:tcPr>
          <w:p>
            <w:r>
              <w:t>Scale support</w:t>
            </w:r>
          </w:p>
        </w:tc>
      </w:tr>
    </w:tbl>
    <w:p>
      <w:r/>
      <w:r>
        <w:rPr>
          <w:b/>
        </w:rPr>
        <w:t>Receipts vs §6a:</w:t>
      </w:r>
      <w:r>
        <w:t xml:space="preserve"> Receipts were not on the original Must Ship list; </w:t>
      </w:r>
      <w:r>
        <w:rPr>
          <w:b/>
        </w:rPr>
        <w:t>this workflow pulls receipts forward</w:t>
      </w:r>
      <w:r>
        <w:t xml:space="preserve"> because Ready-to-Lock and explained blockers cannot be honest without them. Treat receipts as </w:t>
      </w:r>
      <w:r>
        <w:rPr>
          <w:b/>
        </w:rPr>
        <w:t>Workflow Must</w:t>
      </w:r>
      <w:r>
        <w:t>, not optional Cohort B polish.</w:t>
      </w:r>
    </w:p>
    <w:p>
      <w:pPr>
        <w:pStyle w:val="Heading1"/>
      </w:pPr>
      <w:r>
        <w:t>17. Future extensibility (no redesign)</w:t>
      </w:r>
    </w:p>
    <w:p>
      <w:pPr>
        <w:pStyle w:val="ListBullet"/>
      </w:pPr>
      <w:r>
        <w:t>Domain-required dataset profiles (ABS-012 multi-path aware).</w:t>
      </w:r>
    </w:p>
    <w:p>
      <w:pPr>
        <w:pStyle w:val="ListBullet"/>
      </w:pPr>
      <w:r>
        <w:t>BIS-004-style immutable validation_run IDs when full Validation Platform lands—workflow already expects append-only integrity results.</w:t>
      </w:r>
    </w:p>
    <w:p>
      <w:pPr>
        <w:pStyle w:val="ListBullet"/>
      </w:pPr>
      <w:r>
        <w:t>FIE-001 Composite Snapshots / FIE-003 calculation runs attach to same Close Session + lock_version when Class 2 activates (Close Ready Phase 2).</w:t>
      </w:r>
    </w:p>
    <w:p>
      <w:pPr>
        <w:pStyle w:val="ListBullet"/>
      </w:pPr>
      <w:r>
        <w:t>FIE-005 narratives consume Certified Close artifacts only.</w:t>
      </w:r>
    </w:p>
    <w:p>
      <w:pPr>
        <w:pStyle w:val="ListBullet"/>
      </w:pPr>
      <w:r>
        <w:t>BUILD-005 ops alert on workflow stuck states; BUILD-008 success playbooks teach the checklist.</w:t>
      </w:r>
    </w:p>
    <w:p>
      <w:pPr>
        <w:pStyle w:val="Heading1"/>
      </w:pPr>
      <w:r>
        <w:t>18. Final review answers</w:t>
      </w:r>
    </w:p>
    <w:p>
      <w:pPr>
        <w:pStyle w:val="Heading2"/>
      </w:pPr>
      <w:r>
        <w:t>1. Does this become the canonical Customer Close Workflow for SMPL?</w:t>
      </w:r>
    </w:p>
    <w:p>
      <w:r/>
      <w:r>
        <w:rPr>
          <w:b/>
        </w:rPr>
        <w:t>Yes — recommended.</w:t>
      </w:r>
      <w:r>
        <w:t xml:space="preserve"> Once DRIs named and this doc frozen, all APIs, UI, Prompt 5, Copilot, Agents, Ops, and CS reference this lifecycle.</w:t>
      </w:r>
    </w:p>
    <w:p>
      <w:pPr>
        <w:pStyle w:val="Heading2"/>
      </w:pPr>
      <w:r>
        <w:t>2. Remaining customer experience gaps before implementation?</w:t>
      </w:r>
    </w:p>
    <w:p>
      <w:r>
        <w:t>Clarify at freeze meeting (defaults recommended below):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Gap</w:t>
            </w:r>
          </w:p>
        </w:tc>
        <w:tc>
          <w:tcPr>
            <w:tcW w:type="dxa" w:w="4320"/>
          </w:tcPr>
          <w:p>
            <w:r>
              <w:t>Recommended default</w:t>
            </w:r>
          </w:p>
        </w:tc>
      </w:tr>
      <w:tr>
        <w:tc>
          <w:tcPr>
            <w:tcW w:type="dxa" w:w="4320"/>
          </w:tcPr>
          <w:p>
            <w:r>
              <w:t>Exact required datasets for Ready-to-Lock</w:t>
            </w:r>
          </w:p>
        </w:tc>
        <w:tc>
          <w:tcPr>
            <w:tcW w:type="dxa" w:w="4320"/>
          </w:tcPr>
          <w:p>
            <w:r>
              <w:t>Org plan profile; start with GL + Cash + CRM closed-won + headcount if present in entitlements</w:t>
            </w:r>
          </w:p>
        </w:tc>
      </w:tr>
      <w:tr>
        <w:tc>
          <w:tcPr>
            <w:tcW w:type="dxa" w:w="4320"/>
          </w:tcPr>
          <w:p>
            <w:r>
              <w:t>`PUBLISHED` vs first deck</w:t>
            </w:r>
          </w:p>
        </w:tc>
        <w:tc>
          <w:tcPr>
            <w:tcW w:type="dxa" w:w="4320"/>
          </w:tcPr>
          <w:p>
            <w:r>
              <w:t>Phase 1: Certified Close ≡ READY_FOR_EXECUTIVE_REVIEW after freeze; “Published” optional when first Prompt 5 succeeds</w:t>
            </w:r>
          </w:p>
        </w:tc>
      </w:tr>
      <w:tr>
        <w:tc>
          <w:tcPr>
            <w:tcW w:type="dxa" w:w="4320"/>
          </w:tcPr>
          <w:p>
            <w:r>
              <w:t>Prewarm vs Certified badge</w:t>
            </w:r>
          </w:p>
        </w:tc>
        <w:tc>
          <w:tcPr>
            <w:tcW w:type="dxa" w:w="4320"/>
          </w:tcPr>
          <w:p>
            <w:r>
              <w:t>Prewarm may create COMPLETE; Certified requires customer Lock event</w:t>
            </w:r>
          </w:p>
        </w:tc>
      </w:tr>
      <w:tr>
        <w:tc>
          <w:tcPr>
            <w:tcW w:type="dxa" w:w="4320"/>
          </w:tcPr>
          <w:p>
            <w:r>
              <w:t>Row-level correct vs unload+reupload</w:t>
            </w:r>
          </w:p>
        </w:tc>
        <w:tc>
          <w:tcPr>
            <w:tcW w:type="dxa" w:w="4320"/>
          </w:tcPr>
          <w:p>
            <w:r>
              <w:t>v1 unload/reupload; row-level Cohort B</w:t>
            </w:r>
          </w:p>
        </w:tc>
      </w:tr>
      <w:tr>
        <w:tc>
          <w:tcPr>
            <w:tcW w:type="dxa" w:w="4320"/>
          </w:tcPr>
          <w:p>
            <w:r>
              <w:t>Owner name</w:t>
            </w:r>
          </w:p>
        </w:tc>
        <w:tc>
          <w:tcPr>
            <w:tcW w:type="dxa" w:w="4320"/>
          </w:tcPr>
          <w:p>
            <w:r>
              <w:t>Fill before lock meeting</w:t>
            </w:r>
          </w:p>
        </w:tc>
      </w:tr>
    </w:tbl>
    <w:p>
      <w:pPr>
        <w:pStyle w:val="Heading2"/>
      </w:pPr>
      <w:r>
        <w:t>3. Alignment with frozen specs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</w:t>
            </w:r>
          </w:p>
        </w:tc>
        <w:tc>
          <w:tcPr>
            <w:tcW w:type="dxa" w:w="4320"/>
          </w:tcPr>
          <w:p>
            <w:r>
              <w:t>Alignment</w:t>
            </w:r>
          </w:p>
        </w:tc>
      </w:tr>
      <w:tr>
        <w:tc>
          <w:tcPr>
            <w:tcW w:type="dxa" w:w="4320"/>
          </w:tcPr>
          <w:p>
            <w:r>
              <w:t>ABS-012</w:t>
            </w:r>
          </w:p>
        </w:tc>
        <w:tc>
          <w:tcPr>
            <w:tcW w:type="dxa" w:w="4320"/>
          </w:tcPr>
          <w:p>
            <w:r>
              <w:t>Path-agnostic: workflow cares that domains loaded into Canonical, not CSV vs API. Structural fail messages match explained blockers.</w:t>
            </w:r>
          </w:p>
        </w:tc>
      </w:tr>
      <w:tr>
        <w:tc>
          <w:tcPr>
            <w:tcW w:type="dxa" w:w="4320"/>
          </w:tcPr>
          <w:p>
            <w:r>
              <w:t>BIS-003</w:t>
            </w:r>
          </w:p>
        </w:tc>
        <w:tc>
          <w:tcPr>
            <w:tcW w:type="dxa" w:w="4320"/>
          </w:tcPr>
          <w:p>
            <w:r>
              <w:t>Loads converge to Canonical; immutable source refs ↔ immutable Lock/freeze lineage.</w:t>
            </w:r>
          </w:p>
        </w:tc>
      </w:tr>
      <w:tr>
        <w:tc>
          <w:tcPr>
            <w:tcW w:type="dxa" w:w="4320"/>
          </w:tcPr>
          <w:p>
            <w:r>
              <w:t>BIS-004</w:t>
            </w:r>
          </w:p>
        </w:tc>
        <w:tc>
          <w:tcPr>
            <w:tcW w:type="dxa" w:w="4320"/>
          </w:tcPr>
          <w:p>
            <w:r>
              <w:t>Load vs financial integrity mirrors structural vs business validation; append-only results ↔ versioned locks. Workflow does not own CAL—surfaces evidence for Lock.</w:t>
            </w:r>
          </w:p>
        </w:tc>
      </w:tr>
      <w:tr>
        <w:tc>
          <w:tcPr>
            <w:tcW w:type="dxa" w:w="4320"/>
          </w:tcPr>
          <w:p>
            <w:r>
              <w:t>FIE-001</w:t>
            </w:r>
          </w:p>
        </w:tc>
        <w:tc>
          <w:tcPr>
            <w:tcW w:type="dxa" w:w="4320"/>
          </w:tcPr>
          <w:p>
            <w:r>
              <w:t>Freeze / Certified Close is the production rehearsal of Observation/Composite Snapshot; Lock is an explicit capture trigger. No new Observation service required now.</w:t>
            </w:r>
          </w:p>
        </w:tc>
      </w:tr>
      <w:tr>
        <w:tc>
          <w:tcPr>
            <w:tcW w:type="dxa" w:w="4320"/>
          </w:tcPr>
          <w:p>
            <w:r>
              <w:t>FIE-003</w:t>
            </w:r>
          </w:p>
        </w:tc>
        <w:tc>
          <w:tcPr>
            <w:tcW w:type="dxa" w:w="4320"/>
          </w:tcPr>
          <w:p>
            <w:r>
              <w:t>Dec/reporting consume freeze/certified artifacts; no live invent-when-missing (matches hard-block).</w:t>
            </w:r>
          </w:p>
        </w:tc>
      </w:tr>
      <w:tr>
        <w:tc>
          <w:tcPr>
            <w:tcW w:type="dxa" w:w="4320"/>
          </w:tcPr>
          <w:p>
            <w:r>
              <w:t>FIE-005</w:t>
            </w:r>
          </w:p>
        </w:tc>
        <w:tc>
          <w:tcPr>
            <w:tcW w:type="dxa" w:w="4320"/>
          </w:tcPr>
          <w:p>
            <w:r>
              <w:t>Narratives/Copilot consume certified context; Agents fail-closed.</w:t>
            </w:r>
          </w:p>
        </w:tc>
      </w:tr>
      <w:tr>
        <w:tc>
          <w:tcPr>
            <w:tcW w:type="dxa" w:w="4320"/>
          </w:tcPr>
          <w:p>
            <w:r>
              <w:t>BUILD-005</w:t>
            </w:r>
          </w:p>
        </w:tc>
        <w:tc>
          <w:tcPr>
            <w:tcW w:type="dxa" w:w="4320"/>
          </w:tcPr>
          <w:p>
            <w:r>
              <w:t>Ops readiness extends with workflow state / lock version / receipts.</w:t>
            </w:r>
          </w:p>
        </w:tc>
      </w:tr>
      <w:tr>
        <w:tc>
          <w:tcPr>
            <w:tcW w:type="dxa" w:w="4320"/>
          </w:tcPr>
          <w:p>
            <w:r>
              <w:t>BUILD-008</w:t>
            </w:r>
          </w:p>
        </w:tc>
        <w:tc>
          <w:tcPr>
            <w:tcW w:type="dxa" w:w="4320"/>
          </w:tcPr>
          <w:p>
            <w:r>
              <w:t>Customer success teaches checklist + Lock; Agents amplify playbooks.</w:t>
            </w:r>
          </w:p>
        </w:tc>
      </w:tr>
      <w:tr>
        <w:tc>
          <w:tcPr>
            <w:tcW w:type="dxa" w:w="4320"/>
          </w:tcPr>
          <w:p>
            <w:r>
              <w:t>Close Peak Rev 4</w:t>
            </w:r>
          </w:p>
        </w:tc>
        <w:tc>
          <w:tcPr>
            <w:tcW w:type="dxa" w:w="4320"/>
          </w:tcPr>
          <w:p>
            <w:r>
              <w:t>Lock produces Close Ready; ladder mapping preserved; STALE policy + Close Session lineage; no parallel model.</w:t>
            </w:r>
          </w:p>
        </w:tc>
      </w:tr>
    </w:tbl>
    <w:p>
      <w:pPr>
        <w:pStyle w:val="Heading2"/>
      </w:pPr>
      <w:r>
        <w:t>4. Implementation-ready for engineering?</w:t>
      </w:r>
    </w:p>
    <w:p>
      <w:r/>
      <w:r>
        <w:rPr>
          <w:b/>
        </w:rPr>
        <w:t>Yes, with freeze caveats:</w:t>
      </w:r>
      <w:r/>
    </w:p>
    <w:p>
      <w:pPr>
        <w:pStyle w:val="ListBullet"/>
      </w:pPr>
      <w:r>
        <w:t>Treat this document as the authoritative Customer Close Workflow once DRIs are named.</w:t>
      </w:r>
    </w:p>
    <w:p>
      <w:pPr>
        <w:pStyle w:val="ListBullet"/>
      </w:pPr>
      <w:r>
        <w:t xml:space="preserve">Implement along </w:t>
      </w:r>
      <w:r>
        <w:rPr>
          <w:b/>
        </w:rPr>
        <w:t>§16 Next</w:t>
      </w:r>
      <w:r>
        <w:t xml:space="preserve"> slice order (receipts → unload/reupload → checklist/Ready-to-Lock → Lock events → freeze-from-Lock → certification UI → Ops extensions).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wait on Agents or human approvals.</w:t>
      </w:r>
    </w:p>
    <w:p>
      <w:r/>
      <w:r>
        <w:rPr>
          <w:b/>
        </w:rPr>
        <w:t>Recommendation:</w:t>
      </w:r>
      <w:r>
        <w:t xml:space="preserve"> Freeze this as the authoritative Customer Close Workflow and begin the §16 Next implementation slice.</w:t>
      </w:r>
    </w:p>
    <w:p>
      <w:pPr>
        <w:pStyle w:val="Heading1"/>
      </w:pPr>
      <w:r>
        <w:t>19. One-sentence summary</w:t>
      </w:r>
    </w:p>
    <w:p>
      <w:r/>
      <w:r>
        <w:rPr>
          <w:b/>
        </w:rPr>
        <w:t>Customer Close Workflow</w:t>
      </w:r>
      <w:r>
        <w:t xml:space="preserve"> is the canonical period journey from load → Ready to Lock → versioned Lock → freeze → Certified Close → executive review, with Load and Financial integrity visible separately, blockers explained, Close Session as lineage, and Agents fail-closed on real state—without redesigning ABS/BIS/FIE.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